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EBB735">
      <w:pPr>
        <w:widowControl/>
        <w:spacing w:before="312" w:beforeLines="100" w:after="312" w:afterLines="100"/>
        <w:jc w:val="center"/>
        <w:rPr>
          <w:rFonts w:ascii="Times New Roman" w:hAnsi="Times New Roman" w:eastAsia="方正小标宋简体" w:cs="Times New Roman"/>
          <w:bCs/>
          <w:kern w:val="0"/>
          <w:sz w:val="40"/>
          <w:highlight w:val="none"/>
        </w:rPr>
      </w:pPr>
      <w:r>
        <w:rPr>
          <w:rFonts w:ascii="Times New Roman" w:hAnsi="Times New Roman" w:eastAsia="方正小标宋简体" w:cs="Times New Roman"/>
          <w:bCs/>
          <w:kern w:val="0"/>
          <w:sz w:val="40"/>
          <w:highlight w:val="none"/>
        </w:rPr>
        <w:t>生命科学学院研究生国家奖学金评审实施细则</w:t>
      </w:r>
    </w:p>
    <w:p w14:paraId="727168E4">
      <w:pPr>
        <w:widowControl/>
        <w:spacing w:before="312" w:beforeLines="100" w:after="312" w:afterLines="100"/>
        <w:jc w:val="center"/>
        <w:rPr>
          <w:rFonts w:ascii="Times New Roman" w:hAnsi="Times New Roman" w:eastAsia="方正小标宋简体" w:cs="Times New Roman"/>
          <w:sz w:val="32"/>
          <w:szCs w:val="32"/>
          <w:highlight w:val="none"/>
        </w:rPr>
      </w:pPr>
      <w:r>
        <w:rPr>
          <w:rFonts w:ascii="Times New Roman" w:hAnsi="Times New Roman" w:eastAsia="方正小标宋简体" w:cs="Times New Roman"/>
          <w:bCs/>
          <w:kern w:val="0"/>
          <w:sz w:val="40"/>
          <w:highlight w:val="none"/>
        </w:rPr>
        <w:t>（</w:t>
      </w:r>
      <w:r>
        <w:rPr>
          <w:rFonts w:hint="eastAsia" w:ascii="宋体" w:hAnsi="宋体" w:eastAsia="方正小标宋简体" w:cs="宋体"/>
          <w:bCs/>
          <w:kern w:val="0"/>
          <w:sz w:val="40"/>
          <w:highlight w:val="none"/>
          <w:lang w:val="en-US" w:eastAsia="zh-CN"/>
        </w:rPr>
        <w:t>讨论稿</w:t>
      </w:r>
      <w:r>
        <w:rPr>
          <w:rFonts w:ascii="Times New Roman" w:hAnsi="Times New Roman" w:cs="Times New Roman"/>
          <w:bCs/>
          <w:kern w:val="0"/>
          <w:sz w:val="40"/>
          <w:highlight w:val="none"/>
        </w:rPr>
        <w:t>202</w:t>
      </w:r>
      <w:r>
        <w:rPr>
          <w:rFonts w:hint="eastAsia" w:ascii="Times New Roman" w:hAnsi="Times New Roman" w:cs="Times New Roman"/>
          <w:bCs/>
          <w:kern w:val="0"/>
          <w:sz w:val="40"/>
          <w:highlight w:val="none"/>
          <w:lang w:val="en-US" w:eastAsia="zh-CN"/>
        </w:rPr>
        <w:t>5</w:t>
      </w:r>
      <w:r>
        <w:rPr>
          <w:rFonts w:ascii="Times New Roman" w:hAnsi="Times New Roman" w:eastAsia="方正小标宋简体" w:cs="Times New Roman"/>
          <w:bCs/>
          <w:kern w:val="0"/>
          <w:sz w:val="40"/>
          <w:highlight w:val="none"/>
        </w:rPr>
        <w:t>）</w:t>
      </w:r>
    </w:p>
    <w:p w14:paraId="688C8986">
      <w:pPr>
        <w:widowControl/>
        <w:spacing w:after="90" w:line="384" w:lineRule="auto"/>
        <w:ind w:firstLine="600" w:firstLineChars="200"/>
        <w:rPr>
          <w:rFonts w:ascii="Times New Roman" w:hAnsi="Times New Roman" w:eastAsia="楷体_GB2312" w:cs="Times New Roman"/>
          <w:kern w:val="0"/>
          <w:sz w:val="30"/>
          <w:szCs w:val="30"/>
          <w:highlight w:val="none"/>
        </w:rPr>
      </w:pPr>
      <w:r>
        <w:rPr>
          <w:rFonts w:ascii="Times New Roman" w:hAnsi="Times New Roman" w:eastAsia="仿宋_GB2312" w:cs="Times New Roman"/>
          <w:sz w:val="30"/>
          <w:szCs w:val="30"/>
          <w:highlight w:val="none"/>
        </w:rPr>
        <w:t>为进一步激励研究生认真学习、勤于科研，提高研究生培养质量，</w:t>
      </w:r>
      <w:r>
        <w:rPr>
          <w:rFonts w:ascii="Times New Roman" w:hAnsi="Times New Roman" w:eastAsia="仿宋_GB2312" w:cs="Times New Roman"/>
          <w:kern w:val="0"/>
          <w:sz w:val="30"/>
          <w:szCs w:val="30"/>
          <w:highlight w:val="none"/>
        </w:rPr>
        <w:t>根据《西北农林科技大学研究生国家奖学金评审办法》（校学发〔2014〕235号）精神，结合学院实际，制定本细则。</w:t>
      </w:r>
    </w:p>
    <w:p w14:paraId="72EF8DAE">
      <w:pPr>
        <w:ind w:firstLine="600" w:firstLineChars="200"/>
        <w:outlineLvl w:val="0"/>
        <w:rPr>
          <w:rFonts w:ascii="Times New Roman" w:hAnsi="Times New Roman" w:eastAsia="黑体" w:cs="Times New Roman"/>
          <w:kern w:val="0"/>
          <w:sz w:val="30"/>
          <w:szCs w:val="30"/>
          <w:highlight w:val="none"/>
        </w:rPr>
      </w:pPr>
      <w:r>
        <w:rPr>
          <w:rFonts w:ascii="Times New Roman" w:hAnsi="Times New Roman" w:eastAsia="黑体" w:cs="Times New Roman"/>
          <w:kern w:val="0"/>
          <w:sz w:val="30"/>
          <w:szCs w:val="30"/>
          <w:highlight w:val="none"/>
        </w:rPr>
        <w:t>一、评审机构</w:t>
      </w:r>
    </w:p>
    <w:p w14:paraId="357C0517">
      <w:pPr>
        <w:tabs>
          <w:tab w:val="left" w:pos="499"/>
        </w:tabs>
        <w:ind w:firstLine="600" w:firstLineChars="200"/>
        <w:outlineLvl w:val="1"/>
        <w:rPr>
          <w:rFonts w:ascii="Times New Roman" w:hAnsi="Times New Roman" w:eastAsia="楷体_GB2312" w:cs="Times New Roman"/>
          <w:sz w:val="30"/>
          <w:szCs w:val="30"/>
          <w:highlight w:val="none"/>
        </w:rPr>
      </w:pPr>
      <w:r>
        <w:rPr>
          <w:rFonts w:ascii="Times New Roman" w:hAnsi="Times New Roman" w:eastAsia="楷体_GB2312" w:cs="Times New Roman"/>
          <w:sz w:val="30"/>
          <w:szCs w:val="30"/>
          <w:highlight w:val="none"/>
        </w:rPr>
        <w:t>（一）评审工作领导小组</w:t>
      </w:r>
    </w:p>
    <w:p w14:paraId="4F17D1DA">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学院成立评审工作领导小组，负责制定研究生国家奖学金评审实施细则，全面负责评审工作。</w:t>
      </w:r>
    </w:p>
    <w:p w14:paraId="0A8C2B76">
      <w:pPr>
        <w:ind w:firstLine="600" w:firstLineChars="200"/>
        <w:rPr>
          <w:rFonts w:hint="eastAsia" w:ascii="Times New Roman" w:hAnsi="Times New Roman" w:eastAsia="仿宋_GB2312" w:cs="Times New Roman"/>
          <w:sz w:val="30"/>
          <w:szCs w:val="30"/>
          <w:highlight w:val="none"/>
          <w:lang w:eastAsia="zh-CN"/>
        </w:rPr>
      </w:pPr>
      <w:r>
        <w:rPr>
          <w:rFonts w:ascii="Times New Roman" w:hAnsi="Times New Roman" w:eastAsia="仿宋_GB2312" w:cs="Times New Roman"/>
          <w:sz w:val="30"/>
          <w:szCs w:val="30"/>
          <w:highlight w:val="none"/>
        </w:rPr>
        <w:t>组长：</w:t>
      </w:r>
      <w:r>
        <w:rPr>
          <w:rFonts w:hint="eastAsia" w:ascii="Times New Roman" w:hAnsi="Times New Roman" w:eastAsia="仿宋_GB2312" w:cs="Times New Roman"/>
          <w:sz w:val="30"/>
          <w:szCs w:val="30"/>
          <w:highlight w:val="none"/>
        </w:rPr>
        <w:t>徐三友</w:t>
      </w:r>
      <w:r>
        <w:rPr>
          <w:rFonts w:ascii="Times New Roman" w:hAnsi="Times New Roman" w:eastAsia="仿宋_GB2312" w:cs="Times New Roman"/>
          <w:sz w:val="30"/>
          <w:szCs w:val="30"/>
          <w:highlight w:val="none"/>
        </w:rPr>
        <w:t xml:space="preserve">  </w:t>
      </w:r>
      <w:r>
        <w:rPr>
          <w:rFonts w:hint="eastAsia" w:ascii="Times New Roman" w:hAnsi="Times New Roman" w:eastAsia="仿宋_GB2312" w:cs="Times New Roman"/>
          <w:sz w:val="30"/>
          <w:szCs w:val="30"/>
          <w:highlight w:val="none"/>
          <w:lang w:val="en-US" w:eastAsia="zh-CN"/>
        </w:rPr>
        <w:t>王  存</w:t>
      </w:r>
    </w:p>
    <w:p w14:paraId="45069D2A">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成员：林雁冰</w:t>
      </w:r>
      <w:r>
        <w:rPr>
          <w:rFonts w:hint="eastAsia" w:ascii="Times New Roman" w:hAnsi="Times New Roman" w:eastAsia="仿宋_GB2312" w:cs="Times New Roman"/>
          <w:sz w:val="30"/>
          <w:szCs w:val="30"/>
          <w:highlight w:val="none"/>
          <w:lang w:val="en-US" w:eastAsia="zh-CN"/>
        </w:rPr>
        <w:t xml:space="preserve">  </w:t>
      </w:r>
      <w:r>
        <w:rPr>
          <w:rFonts w:hint="eastAsia" w:ascii="Times New Roman" w:hAnsi="Times New Roman" w:eastAsia="仿宋_GB2312" w:cs="Times New Roman"/>
          <w:sz w:val="30"/>
          <w:szCs w:val="30"/>
          <w:highlight w:val="none"/>
        </w:rPr>
        <w:t>王  瑶</w:t>
      </w:r>
      <w:r>
        <w:rPr>
          <w:rFonts w:ascii="Times New Roman" w:hAnsi="Times New Roman" w:eastAsia="仿宋_GB2312" w:cs="Times New Roman"/>
          <w:sz w:val="30"/>
          <w:szCs w:val="30"/>
          <w:highlight w:val="none"/>
        </w:rPr>
        <w:t xml:space="preserve">  </w:t>
      </w:r>
      <w:r>
        <w:rPr>
          <w:rFonts w:hint="eastAsia" w:ascii="Times New Roman" w:hAnsi="Times New Roman" w:eastAsia="仿宋_GB2312" w:cs="Times New Roman"/>
          <w:sz w:val="30"/>
          <w:szCs w:val="30"/>
          <w:highlight w:val="none"/>
          <w:lang w:val="en-US" w:eastAsia="zh-CN"/>
        </w:rPr>
        <w:t>贾一波</w:t>
      </w:r>
      <w:r>
        <w:rPr>
          <w:rFonts w:ascii="Times New Roman" w:hAnsi="Times New Roman" w:eastAsia="仿宋_GB2312" w:cs="Times New Roman"/>
          <w:sz w:val="30"/>
          <w:szCs w:val="30"/>
          <w:highlight w:val="none"/>
        </w:rPr>
        <w:t xml:space="preserve">  </w:t>
      </w:r>
      <w:r>
        <w:rPr>
          <w:rFonts w:hint="eastAsia" w:ascii="Times New Roman" w:hAnsi="Times New Roman" w:eastAsia="仿宋_GB2312" w:cs="Times New Roman"/>
          <w:sz w:val="30"/>
          <w:szCs w:val="30"/>
          <w:highlight w:val="none"/>
          <w:lang w:val="en-US" w:eastAsia="zh-CN"/>
        </w:rPr>
        <w:t>廖明帜</w:t>
      </w:r>
      <w:r>
        <w:rPr>
          <w:rFonts w:ascii="Times New Roman" w:hAnsi="Times New Roman" w:eastAsia="仿宋_GB2312" w:cs="Times New Roman"/>
          <w:sz w:val="30"/>
          <w:szCs w:val="30"/>
          <w:highlight w:val="none"/>
        </w:rPr>
        <w:t xml:space="preserve">  刘林强   </w:t>
      </w:r>
    </w:p>
    <w:p w14:paraId="5BB67453">
      <w:pPr>
        <w:ind w:firstLine="600" w:firstLineChars="200"/>
        <w:outlineLvl w:val="1"/>
        <w:rPr>
          <w:rFonts w:ascii="Times New Roman" w:hAnsi="Times New Roman" w:eastAsia="楷体_GB2312" w:cs="Times New Roman"/>
          <w:sz w:val="30"/>
          <w:szCs w:val="30"/>
          <w:highlight w:val="none"/>
        </w:rPr>
      </w:pPr>
      <w:r>
        <w:rPr>
          <w:rFonts w:ascii="Times New Roman" w:hAnsi="Times New Roman" w:eastAsia="楷体_GB2312" w:cs="Times New Roman"/>
          <w:sz w:val="30"/>
          <w:szCs w:val="30"/>
          <w:highlight w:val="none"/>
        </w:rPr>
        <w:t>（二）评审工作组</w:t>
      </w:r>
    </w:p>
    <w:p w14:paraId="72751A27">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学院成立评审工作组做好研究生国家奖学金的申请组织和评审工作。</w:t>
      </w:r>
    </w:p>
    <w:p w14:paraId="72C4E0D4">
      <w:pPr>
        <w:ind w:firstLine="600" w:firstLineChars="200"/>
        <w:rPr>
          <w:rFonts w:hint="eastAsia" w:ascii="Times New Roman" w:hAnsi="Times New Roman" w:eastAsia="仿宋_GB2312" w:cs="Times New Roman"/>
          <w:sz w:val="30"/>
          <w:szCs w:val="30"/>
          <w:highlight w:val="none"/>
          <w:lang w:eastAsia="zh-CN"/>
        </w:rPr>
      </w:pPr>
      <w:r>
        <w:rPr>
          <w:rFonts w:ascii="Times New Roman" w:hAnsi="Times New Roman" w:eastAsia="仿宋_GB2312" w:cs="Times New Roman"/>
          <w:sz w:val="30"/>
          <w:szCs w:val="30"/>
          <w:highlight w:val="none"/>
        </w:rPr>
        <w:t>组  长：</w:t>
      </w:r>
      <w:r>
        <w:rPr>
          <w:rFonts w:hint="eastAsia" w:ascii="Times New Roman" w:hAnsi="Times New Roman" w:eastAsia="仿宋_GB2312" w:cs="Times New Roman"/>
          <w:sz w:val="30"/>
          <w:szCs w:val="30"/>
          <w:highlight w:val="none"/>
        </w:rPr>
        <w:t>徐三友</w:t>
      </w:r>
      <w:r>
        <w:rPr>
          <w:rFonts w:ascii="Times New Roman" w:hAnsi="Times New Roman" w:eastAsia="仿宋_GB2312" w:cs="Times New Roman"/>
          <w:sz w:val="30"/>
          <w:szCs w:val="30"/>
          <w:highlight w:val="none"/>
        </w:rPr>
        <w:t xml:space="preserve">  </w:t>
      </w:r>
      <w:r>
        <w:rPr>
          <w:rFonts w:hint="eastAsia" w:ascii="Times New Roman" w:hAnsi="Times New Roman" w:eastAsia="仿宋_GB2312" w:cs="Times New Roman"/>
          <w:sz w:val="30"/>
          <w:szCs w:val="30"/>
          <w:highlight w:val="none"/>
          <w:lang w:val="en-US" w:eastAsia="zh-CN"/>
        </w:rPr>
        <w:t>王  存</w:t>
      </w:r>
    </w:p>
    <w:p w14:paraId="429E24F5">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成  员：</w:t>
      </w:r>
      <w:r>
        <w:rPr>
          <w:rFonts w:hint="eastAsia" w:ascii="Times New Roman" w:hAnsi="Times New Roman" w:eastAsia="仿宋_GB2312" w:cs="Times New Roman"/>
          <w:sz w:val="30"/>
          <w:szCs w:val="30"/>
          <w:highlight w:val="none"/>
          <w:lang w:val="en-US" w:eastAsia="zh-CN"/>
        </w:rPr>
        <w:t>贾一波</w:t>
      </w:r>
      <w:r>
        <w:rPr>
          <w:rFonts w:ascii="Times New Roman" w:hAnsi="Times New Roman" w:eastAsia="仿宋_GB2312" w:cs="Times New Roman"/>
          <w:sz w:val="30"/>
          <w:szCs w:val="30"/>
          <w:highlight w:val="none"/>
        </w:rPr>
        <w:t xml:space="preserve">  林雁冰  刘  杰  </w:t>
      </w:r>
      <w:r>
        <w:rPr>
          <w:rFonts w:hint="eastAsia" w:ascii="Times New Roman" w:hAnsi="Times New Roman" w:eastAsia="仿宋_GB2312" w:cs="Times New Roman"/>
          <w:sz w:val="30"/>
          <w:szCs w:val="30"/>
          <w:highlight w:val="none"/>
          <w:lang w:val="en-US" w:eastAsia="zh-CN"/>
        </w:rPr>
        <w:t xml:space="preserve">廖明帜  </w:t>
      </w:r>
      <w:r>
        <w:rPr>
          <w:rFonts w:ascii="Times New Roman" w:hAnsi="Times New Roman" w:eastAsia="仿宋_GB2312" w:cs="Times New Roman"/>
          <w:sz w:val="30"/>
          <w:szCs w:val="30"/>
          <w:highlight w:val="none"/>
        </w:rPr>
        <w:t xml:space="preserve">沈锡辉  </w:t>
      </w:r>
    </w:p>
    <w:p w14:paraId="4D97C437">
      <w:pPr>
        <w:ind w:firstLine="1800" w:firstLineChars="6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陈少林</w:t>
      </w:r>
      <w:r>
        <w:rPr>
          <w:rFonts w:hint="eastAsia" w:ascii="Times New Roman" w:hAnsi="Times New Roman" w:eastAsia="仿宋_GB2312" w:cs="Times New Roman"/>
          <w:sz w:val="30"/>
          <w:szCs w:val="30"/>
          <w:highlight w:val="none"/>
          <w:lang w:val="en-US" w:eastAsia="zh-CN"/>
        </w:rPr>
        <w:t xml:space="preserve">  </w:t>
      </w:r>
      <w:r>
        <w:rPr>
          <w:rFonts w:ascii="Times New Roman" w:hAnsi="Times New Roman" w:eastAsia="仿宋_GB2312" w:cs="Times New Roman"/>
          <w:sz w:val="30"/>
          <w:szCs w:val="30"/>
          <w:highlight w:val="none"/>
        </w:rPr>
        <w:t xml:space="preserve">郝文芳  陈坤明  陈  鹏  颜  霞  </w:t>
      </w:r>
    </w:p>
    <w:p w14:paraId="643C82B3">
      <w:pPr>
        <w:ind w:firstLine="1800" w:firstLineChars="600"/>
        <w:rPr>
          <w:rFonts w:hint="eastAsia" w:ascii="Times New Roman" w:hAnsi="Times New Roman" w:eastAsia="仿宋_GB2312" w:cs="Times New Roman"/>
          <w:sz w:val="30"/>
          <w:szCs w:val="30"/>
          <w:highlight w:val="none"/>
          <w:lang w:eastAsia="zh-CN"/>
        </w:rPr>
      </w:pPr>
      <w:r>
        <w:rPr>
          <w:rFonts w:ascii="Times New Roman" w:hAnsi="Times New Roman" w:eastAsia="仿宋_GB2312" w:cs="Times New Roman"/>
          <w:sz w:val="30"/>
          <w:szCs w:val="30"/>
          <w:highlight w:val="none"/>
        </w:rPr>
        <w:t xml:space="preserve">董娟娥  陶士珩  常朝阳  陈红英  赵天永  </w:t>
      </w:r>
    </w:p>
    <w:p w14:paraId="21537A38">
      <w:pPr>
        <w:ind w:firstLine="600" w:firstLineChars="200"/>
        <w:outlineLvl w:val="0"/>
        <w:rPr>
          <w:rFonts w:ascii="Times New Roman" w:hAnsi="Times New Roman" w:eastAsia="黑体" w:cs="Times New Roman"/>
          <w:kern w:val="0"/>
          <w:sz w:val="30"/>
          <w:szCs w:val="30"/>
          <w:highlight w:val="none"/>
        </w:rPr>
      </w:pPr>
      <w:r>
        <w:rPr>
          <w:rFonts w:ascii="Times New Roman" w:hAnsi="Times New Roman" w:eastAsia="黑体" w:cs="Times New Roman"/>
          <w:kern w:val="0"/>
          <w:sz w:val="30"/>
          <w:szCs w:val="30"/>
          <w:highlight w:val="none"/>
        </w:rPr>
        <w:t>二、评审对象、基本申请条件和参评资格</w:t>
      </w:r>
    </w:p>
    <w:p w14:paraId="328FDCE6">
      <w:pPr>
        <w:ind w:firstLine="600" w:firstLineChars="200"/>
        <w:outlineLvl w:val="1"/>
        <w:rPr>
          <w:rFonts w:ascii="Times New Roman" w:hAnsi="Times New Roman" w:eastAsia="楷体_GB2312" w:cs="Times New Roman"/>
          <w:sz w:val="30"/>
          <w:szCs w:val="30"/>
          <w:highlight w:val="none"/>
        </w:rPr>
      </w:pPr>
      <w:r>
        <w:rPr>
          <w:rFonts w:ascii="Times New Roman" w:hAnsi="Times New Roman" w:eastAsia="楷体_GB2312" w:cs="Times New Roman"/>
          <w:sz w:val="30"/>
          <w:szCs w:val="30"/>
          <w:highlight w:val="none"/>
        </w:rPr>
        <w:t>（一）评审对象</w:t>
      </w:r>
    </w:p>
    <w:p w14:paraId="4C3482A4">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研究生国家奖学金的评审对象为学院全日制非在职研究生。</w:t>
      </w:r>
    </w:p>
    <w:p w14:paraId="5E4AAE22">
      <w:pPr>
        <w:ind w:firstLine="600" w:firstLineChars="200"/>
        <w:outlineLvl w:val="1"/>
        <w:rPr>
          <w:rFonts w:ascii="Times New Roman" w:hAnsi="Times New Roman" w:eastAsia="楷体_GB2312" w:cs="Times New Roman"/>
          <w:sz w:val="30"/>
          <w:szCs w:val="30"/>
          <w:highlight w:val="none"/>
        </w:rPr>
      </w:pPr>
      <w:r>
        <w:rPr>
          <w:rFonts w:ascii="Times New Roman" w:hAnsi="Times New Roman" w:eastAsia="楷体_GB2312" w:cs="Times New Roman"/>
          <w:sz w:val="30"/>
          <w:szCs w:val="30"/>
          <w:highlight w:val="none"/>
        </w:rPr>
        <w:t>（二）基本申请条件</w:t>
      </w:r>
    </w:p>
    <w:p w14:paraId="2946D754">
      <w:pPr>
        <w:spacing w:line="600" w:lineRule="exact"/>
        <w:ind w:firstLine="641"/>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1.</w:t>
      </w:r>
      <w:r>
        <w:rPr>
          <w:rFonts w:hint="eastAsia" w:ascii="Times New Roman" w:hAnsi="Times New Roman" w:eastAsia="仿宋_GB2312" w:cs="Times New Roman"/>
          <w:sz w:val="30"/>
          <w:szCs w:val="30"/>
          <w:highlight w:val="none"/>
        </w:rPr>
        <w:t xml:space="preserve"> </w:t>
      </w:r>
      <w:r>
        <w:rPr>
          <w:rFonts w:ascii="Times New Roman" w:hAnsi="Times New Roman" w:eastAsia="仿宋_GB2312" w:cs="Times New Roman"/>
          <w:sz w:val="30"/>
          <w:szCs w:val="30"/>
          <w:highlight w:val="none"/>
        </w:rPr>
        <w:t>具有中华人民共和国国籍，热爱祖国，拥护中国共产党的领导；</w:t>
      </w:r>
    </w:p>
    <w:p w14:paraId="2D263070">
      <w:pPr>
        <w:spacing w:line="600" w:lineRule="exact"/>
        <w:ind w:firstLine="641"/>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2.</w:t>
      </w:r>
      <w:r>
        <w:rPr>
          <w:rFonts w:hint="eastAsia" w:ascii="Times New Roman" w:hAnsi="Times New Roman" w:eastAsia="仿宋_GB2312" w:cs="Times New Roman"/>
          <w:sz w:val="30"/>
          <w:szCs w:val="30"/>
          <w:highlight w:val="none"/>
        </w:rPr>
        <w:t xml:space="preserve"> </w:t>
      </w:r>
      <w:r>
        <w:rPr>
          <w:rFonts w:ascii="Times New Roman" w:hAnsi="Times New Roman" w:eastAsia="仿宋_GB2312" w:cs="Times New Roman"/>
          <w:sz w:val="30"/>
          <w:szCs w:val="30"/>
          <w:highlight w:val="none"/>
        </w:rPr>
        <w:t>遵守宪法和法律，遵守学校规章制度，诚实守信，道德品质优良；</w:t>
      </w:r>
    </w:p>
    <w:p w14:paraId="478C4046">
      <w:pPr>
        <w:spacing w:line="600" w:lineRule="exact"/>
        <w:ind w:firstLine="641"/>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3.</w:t>
      </w:r>
      <w:r>
        <w:rPr>
          <w:rFonts w:hint="eastAsia" w:ascii="Times New Roman" w:hAnsi="Times New Roman" w:eastAsia="仿宋_GB2312" w:cs="Times New Roman"/>
          <w:sz w:val="30"/>
          <w:szCs w:val="30"/>
          <w:highlight w:val="none"/>
        </w:rPr>
        <w:t xml:space="preserve"> </w:t>
      </w:r>
      <w:r>
        <w:rPr>
          <w:rFonts w:ascii="Times New Roman" w:hAnsi="Times New Roman" w:eastAsia="仿宋_GB2312" w:cs="Times New Roman"/>
          <w:sz w:val="30"/>
          <w:szCs w:val="30"/>
          <w:highlight w:val="none"/>
        </w:rPr>
        <w:t>学习成绩优异，科研能力或实践能力显著，发展潜力突出；</w:t>
      </w:r>
    </w:p>
    <w:p w14:paraId="513255AC">
      <w:pPr>
        <w:spacing w:line="600" w:lineRule="exact"/>
        <w:ind w:firstLine="641"/>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4.</w:t>
      </w:r>
      <w:r>
        <w:rPr>
          <w:rFonts w:hint="eastAsia" w:ascii="Times New Roman" w:hAnsi="Times New Roman" w:eastAsia="仿宋_GB2312" w:cs="Times New Roman"/>
          <w:sz w:val="30"/>
          <w:szCs w:val="30"/>
          <w:highlight w:val="none"/>
        </w:rPr>
        <w:t xml:space="preserve"> </w:t>
      </w:r>
      <w:r>
        <w:rPr>
          <w:rFonts w:ascii="Times New Roman" w:hAnsi="Times New Roman" w:eastAsia="仿宋_GB2312" w:cs="Times New Roman"/>
          <w:sz w:val="30"/>
          <w:szCs w:val="30"/>
          <w:highlight w:val="none"/>
        </w:rPr>
        <w:t>身心健康，积极参加科技创新、社会实践及社会公益活动。</w:t>
      </w:r>
    </w:p>
    <w:p w14:paraId="1A27B550">
      <w:pPr>
        <w:ind w:firstLine="600" w:firstLineChars="200"/>
        <w:outlineLvl w:val="1"/>
        <w:rPr>
          <w:rFonts w:ascii="Times New Roman" w:hAnsi="Times New Roman" w:eastAsia="楷体_GB2312" w:cs="Times New Roman"/>
          <w:sz w:val="30"/>
          <w:szCs w:val="30"/>
          <w:highlight w:val="none"/>
        </w:rPr>
      </w:pPr>
      <w:r>
        <w:rPr>
          <w:rFonts w:ascii="Times New Roman" w:hAnsi="Times New Roman" w:eastAsia="楷体_GB2312" w:cs="Times New Roman"/>
          <w:sz w:val="30"/>
          <w:szCs w:val="30"/>
          <w:highlight w:val="none"/>
        </w:rPr>
        <w:t>（三）参评资格</w:t>
      </w:r>
    </w:p>
    <w:p w14:paraId="4260675D">
      <w:pPr>
        <w:spacing w:line="600" w:lineRule="exact"/>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1.</w:t>
      </w:r>
      <w:r>
        <w:rPr>
          <w:rFonts w:hint="eastAsia" w:ascii="Times New Roman" w:hAnsi="Times New Roman" w:eastAsia="仿宋_GB2312" w:cs="Times New Roman"/>
          <w:sz w:val="30"/>
          <w:szCs w:val="30"/>
          <w:highlight w:val="none"/>
        </w:rPr>
        <w:t xml:space="preserve"> </w:t>
      </w:r>
      <w:r>
        <w:rPr>
          <w:rFonts w:ascii="Times New Roman" w:hAnsi="Times New Roman" w:eastAsia="仿宋_GB2312" w:cs="Times New Roman"/>
          <w:sz w:val="30"/>
          <w:szCs w:val="30"/>
          <w:highlight w:val="none"/>
        </w:rPr>
        <w:t>研究生在参评学年有下列情况之一者，不具备当年参评资格：</w:t>
      </w:r>
    </w:p>
    <w:p w14:paraId="2DEA45AE">
      <w:pPr>
        <w:spacing w:line="600" w:lineRule="exact"/>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（1）违反国家法律、校纪校规受到纪律处分者；</w:t>
      </w:r>
    </w:p>
    <w:p w14:paraId="3ED9A604">
      <w:pPr>
        <w:spacing w:line="600" w:lineRule="exact"/>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（2）思想政治品德考核不合格者；</w:t>
      </w:r>
    </w:p>
    <w:p w14:paraId="5016480D">
      <w:pPr>
        <w:spacing w:line="600" w:lineRule="exact"/>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3）课程考试不及格者（其中一年级硕士研究生是指在本科阶段除公共选修课外有课程考试不及格者，一年级博士研究生是指在硕士研究生阶段有课程考试不及格者，高年级硕士研究生、博士研究生分别是指在硕士研究生阶段、博士研究生阶段有课程考试不及格者）；</w:t>
      </w:r>
    </w:p>
    <w:p w14:paraId="6CFD687A">
      <w:pPr>
        <w:spacing w:line="600" w:lineRule="exact"/>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（4）有抄袭剽窃、弄虚作假等学术不端行为经查证属实者；</w:t>
      </w:r>
    </w:p>
    <w:p w14:paraId="1A8DE92B">
      <w:pPr>
        <w:spacing w:line="600" w:lineRule="exact"/>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（5）学籍状态处于休学、保留学籍者。</w:t>
      </w:r>
    </w:p>
    <w:p w14:paraId="45090FBC">
      <w:pPr>
        <w:spacing w:line="600" w:lineRule="exact"/>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2.</w:t>
      </w:r>
      <w:r>
        <w:rPr>
          <w:rFonts w:hint="eastAsia" w:ascii="Times New Roman" w:hAnsi="Times New Roman" w:eastAsia="仿宋_GB2312" w:cs="Times New Roman"/>
          <w:sz w:val="30"/>
          <w:szCs w:val="30"/>
          <w:highlight w:val="none"/>
        </w:rPr>
        <w:t xml:space="preserve"> </w:t>
      </w:r>
      <w:r>
        <w:rPr>
          <w:rFonts w:ascii="Times New Roman" w:hAnsi="Times New Roman" w:eastAsia="仿宋_GB2312" w:cs="Times New Roman"/>
          <w:sz w:val="30"/>
          <w:szCs w:val="30"/>
          <w:highlight w:val="none"/>
        </w:rPr>
        <w:t xml:space="preserve">研究生在基本学制年限内，可多次获得研究生国家奖学金，但获奖成果不可重复申报使用。超出基本学制年限的研究生，不再具备研究生国家奖学金参评资格; </w:t>
      </w:r>
    </w:p>
    <w:p w14:paraId="2C55152E">
      <w:pPr>
        <w:spacing w:line="600" w:lineRule="exact"/>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3.</w:t>
      </w:r>
      <w:r>
        <w:rPr>
          <w:rFonts w:hint="eastAsia" w:ascii="Times New Roman" w:hAnsi="Times New Roman" w:eastAsia="仿宋_GB2312" w:cs="Times New Roman"/>
          <w:sz w:val="30"/>
          <w:szCs w:val="30"/>
          <w:highlight w:val="none"/>
        </w:rPr>
        <w:t xml:space="preserve"> </w:t>
      </w:r>
      <w:r>
        <w:rPr>
          <w:rFonts w:ascii="Times New Roman" w:hAnsi="Times New Roman" w:eastAsia="仿宋_GB2312" w:cs="Times New Roman"/>
          <w:sz w:val="30"/>
          <w:szCs w:val="30"/>
          <w:highlight w:val="none"/>
        </w:rPr>
        <w:t>因国家和学校公派出国联合培养或校际交流且具有我校学籍的研究生，仍具备研究生国家奖学金参评资格；</w:t>
      </w:r>
    </w:p>
    <w:p w14:paraId="5B7F5283">
      <w:pPr>
        <w:spacing w:line="600" w:lineRule="exact"/>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4.</w:t>
      </w:r>
      <w:r>
        <w:rPr>
          <w:rFonts w:hint="eastAsia" w:ascii="Times New Roman" w:hAnsi="Times New Roman" w:eastAsia="仿宋_GB2312" w:cs="Times New Roman"/>
          <w:sz w:val="30"/>
          <w:szCs w:val="30"/>
          <w:highlight w:val="none"/>
        </w:rPr>
        <w:t xml:space="preserve"> </w:t>
      </w:r>
      <w:r>
        <w:rPr>
          <w:rFonts w:ascii="Times New Roman" w:hAnsi="Times New Roman" w:eastAsia="仿宋_GB2312" w:cs="Times New Roman"/>
          <w:sz w:val="30"/>
          <w:szCs w:val="30"/>
          <w:highlight w:val="none"/>
        </w:rPr>
        <w:t>直博生、硕博连读研究生第一至第二学年执行学术学位硕士研究生的奖助标准，第三至第五学年执行学术学位博士研究生的奖助标准。</w:t>
      </w:r>
    </w:p>
    <w:p w14:paraId="07F144C8">
      <w:pPr>
        <w:ind w:firstLine="600" w:firstLineChars="200"/>
        <w:outlineLvl w:val="0"/>
        <w:rPr>
          <w:rFonts w:ascii="Times New Roman" w:hAnsi="Times New Roman" w:eastAsia="黑体" w:cs="Times New Roman"/>
          <w:sz w:val="30"/>
          <w:szCs w:val="30"/>
          <w:highlight w:val="none"/>
        </w:rPr>
      </w:pPr>
      <w:r>
        <w:rPr>
          <w:rFonts w:ascii="Times New Roman" w:hAnsi="Times New Roman" w:eastAsia="黑体" w:cs="Times New Roman"/>
          <w:sz w:val="30"/>
          <w:szCs w:val="30"/>
          <w:highlight w:val="none"/>
        </w:rPr>
        <w:t>三、评审名额分配</w:t>
      </w:r>
    </w:p>
    <w:p w14:paraId="16E3336B">
      <w:pPr>
        <w:ind w:firstLine="600" w:firstLineChars="200"/>
        <w:outlineLvl w:val="1"/>
        <w:rPr>
          <w:rFonts w:ascii="Times New Roman" w:hAnsi="Times New Roman" w:eastAsia="楷体_GB2312" w:cs="Times New Roman"/>
          <w:sz w:val="30"/>
          <w:szCs w:val="30"/>
          <w:highlight w:val="none"/>
        </w:rPr>
      </w:pPr>
      <w:r>
        <w:rPr>
          <w:rFonts w:ascii="Times New Roman" w:hAnsi="Times New Roman" w:eastAsia="楷体_GB2312" w:cs="Times New Roman"/>
          <w:sz w:val="30"/>
          <w:szCs w:val="30"/>
          <w:highlight w:val="none"/>
        </w:rPr>
        <w:t>（一）评审名额</w:t>
      </w:r>
    </w:p>
    <w:p w14:paraId="191642B0">
      <w:pPr>
        <w:ind w:firstLine="600" w:firstLineChars="200"/>
        <w:rPr>
          <w:rFonts w:ascii="Times New Roman" w:hAnsi="Times New Roman" w:eastAsia="仿宋_GB2312" w:cs="Times New Roman"/>
          <w:sz w:val="30"/>
          <w:szCs w:val="30"/>
          <w:highlight w:val="none"/>
        </w:rPr>
      </w:pPr>
      <w:r>
        <w:rPr>
          <w:rFonts w:hint="eastAsia" w:ascii="Times New Roman" w:hAnsi="Times New Roman" w:eastAsia="仿宋_GB2312" w:cs="Times New Roman"/>
          <w:sz w:val="30"/>
          <w:szCs w:val="30"/>
          <w:highlight w:val="none"/>
        </w:rPr>
        <w:t>评选名额博士研究生10名，硕士研究生16名。</w:t>
      </w:r>
      <w:r>
        <w:rPr>
          <w:rFonts w:ascii="Times New Roman" w:hAnsi="Times New Roman" w:eastAsia="仿宋_GB2312" w:cs="Times New Roman"/>
          <w:sz w:val="30"/>
          <w:szCs w:val="30"/>
          <w:highlight w:val="none"/>
        </w:rPr>
        <w:t>研究生国家奖学金每学年评审一次。每学年的名额以学校分配给学院的名额数为准。</w:t>
      </w:r>
    </w:p>
    <w:p w14:paraId="7D1CBFBF">
      <w:pPr>
        <w:ind w:firstLine="600" w:firstLineChars="200"/>
        <w:outlineLvl w:val="1"/>
        <w:rPr>
          <w:rFonts w:ascii="Times New Roman" w:hAnsi="Times New Roman" w:eastAsia="楷体_GB2312" w:cs="Times New Roman"/>
          <w:sz w:val="30"/>
          <w:szCs w:val="30"/>
          <w:highlight w:val="none"/>
        </w:rPr>
      </w:pPr>
      <w:r>
        <w:rPr>
          <w:rFonts w:ascii="Times New Roman" w:hAnsi="Times New Roman" w:eastAsia="楷体_GB2312" w:cs="Times New Roman"/>
          <w:sz w:val="30"/>
          <w:szCs w:val="30"/>
          <w:highlight w:val="none"/>
        </w:rPr>
        <w:t>（二）名额分配</w:t>
      </w:r>
    </w:p>
    <w:p w14:paraId="3D8909E7">
      <w:pPr>
        <w:ind w:firstLine="600" w:firstLineChars="200"/>
        <w:rPr>
          <w:rFonts w:ascii="Times New Roman" w:hAnsi="Times New Roman" w:eastAsia="仿宋_GB2312" w:cs="Times New Roman"/>
          <w:sz w:val="30"/>
          <w:szCs w:val="30"/>
          <w:highlight w:val="none"/>
        </w:rPr>
      </w:pPr>
      <w:r>
        <w:rPr>
          <w:rFonts w:hint="eastAsia" w:ascii="Times New Roman" w:hAnsi="Times New Roman" w:eastAsia="仿宋_GB2312" w:cs="Times New Roman"/>
          <w:sz w:val="30"/>
          <w:szCs w:val="30"/>
          <w:highlight w:val="none"/>
          <w:lang w:val="en-US" w:eastAsia="zh-CN"/>
        </w:rPr>
        <w:t>评选</w:t>
      </w:r>
      <w:r>
        <w:rPr>
          <w:rFonts w:hint="eastAsia" w:ascii="Times New Roman" w:hAnsi="Times New Roman" w:eastAsia="仿宋_GB2312" w:cs="Times New Roman"/>
          <w:sz w:val="30"/>
          <w:szCs w:val="30"/>
          <w:highlight w:val="none"/>
        </w:rPr>
        <w:t>博士研究生一年级名额1名</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Times New Roman"/>
          <w:sz w:val="30"/>
          <w:szCs w:val="30"/>
          <w:highlight w:val="none"/>
        </w:rPr>
        <w:t>高年级名额9名，硕士研究生一年级名额2名</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Times New Roman"/>
          <w:sz w:val="30"/>
          <w:szCs w:val="30"/>
          <w:highlight w:val="none"/>
        </w:rPr>
        <w:t>高年级名额14名。其中硕士高年级专硕名额</w:t>
      </w:r>
      <w:r>
        <w:rPr>
          <w:rFonts w:hint="eastAsia" w:ascii="Times New Roman" w:hAnsi="Times New Roman" w:eastAsia="仿宋_GB2312" w:cs="Times New Roman"/>
          <w:sz w:val="30"/>
          <w:szCs w:val="30"/>
          <w:highlight w:val="none"/>
          <w:lang w:val="en-US" w:eastAsia="zh-CN"/>
        </w:rPr>
        <w:t>6</w:t>
      </w:r>
      <w:r>
        <w:rPr>
          <w:rFonts w:hint="eastAsia" w:ascii="Times New Roman" w:hAnsi="Times New Roman" w:eastAsia="仿宋_GB2312" w:cs="Times New Roman"/>
          <w:sz w:val="30"/>
          <w:szCs w:val="30"/>
          <w:highlight w:val="none"/>
        </w:rPr>
        <w:t>名，学硕名额</w:t>
      </w:r>
      <w:r>
        <w:rPr>
          <w:rFonts w:hint="eastAsia" w:ascii="Times New Roman" w:hAnsi="Times New Roman" w:eastAsia="仿宋_GB2312" w:cs="Times New Roman"/>
          <w:sz w:val="30"/>
          <w:szCs w:val="30"/>
          <w:highlight w:val="none"/>
          <w:lang w:val="en-US" w:eastAsia="zh-CN"/>
        </w:rPr>
        <w:t>8</w:t>
      </w:r>
      <w:r>
        <w:rPr>
          <w:rFonts w:hint="eastAsia" w:ascii="Times New Roman" w:hAnsi="Times New Roman" w:eastAsia="仿宋_GB2312" w:cs="Times New Roman"/>
          <w:sz w:val="30"/>
          <w:szCs w:val="30"/>
          <w:highlight w:val="none"/>
        </w:rPr>
        <w:t>名。</w:t>
      </w:r>
      <w:r>
        <w:rPr>
          <w:rFonts w:ascii="Times New Roman" w:hAnsi="Times New Roman" w:eastAsia="仿宋_GB2312" w:cs="Times New Roman"/>
          <w:sz w:val="30"/>
          <w:szCs w:val="30"/>
          <w:highlight w:val="none"/>
        </w:rPr>
        <w:t>同一类别</w:t>
      </w:r>
      <w:r>
        <w:rPr>
          <w:rFonts w:hint="eastAsia" w:ascii="Times New Roman" w:hAnsi="Times New Roman" w:eastAsia="仿宋_GB2312" w:cs="Times New Roman"/>
          <w:sz w:val="30"/>
          <w:szCs w:val="30"/>
          <w:highlight w:val="none"/>
          <w:lang w:val="en-US" w:eastAsia="zh-CN"/>
        </w:rPr>
        <w:t>学生中</w:t>
      </w:r>
      <w:r>
        <w:rPr>
          <w:rFonts w:ascii="Times New Roman" w:hAnsi="Times New Roman" w:eastAsia="仿宋_GB2312" w:cs="Times New Roman"/>
          <w:sz w:val="30"/>
          <w:szCs w:val="30"/>
          <w:highlight w:val="none"/>
        </w:rPr>
        <w:t>，一个学科点获得国家奖学金的人数不得超过名额数的30%，不足1人时，按1人计。</w:t>
      </w:r>
    </w:p>
    <w:p w14:paraId="6CF0B24E">
      <w:pPr>
        <w:ind w:firstLine="600" w:firstLineChars="200"/>
        <w:outlineLvl w:val="0"/>
        <w:rPr>
          <w:rFonts w:ascii="Times New Roman" w:hAnsi="Times New Roman" w:eastAsia="黑体" w:cs="Times New Roman"/>
          <w:sz w:val="30"/>
          <w:szCs w:val="30"/>
          <w:highlight w:val="none"/>
        </w:rPr>
      </w:pPr>
      <w:r>
        <w:rPr>
          <w:rFonts w:ascii="Times New Roman" w:hAnsi="Times New Roman" w:eastAsia="黑体" w:cs="Times New Roman"/>
          <w:sz w:val="30"/>
          <w:szCs w:val="30"/>
          <w:highlight w:val="none"/>
        </w:rPr>
        <w:t>四、指标体系</w:t>
      </w:r>
    </w:p>
    <w:p w14:paraId="1C9538C8">
      <w:pPr>
        <w:ind w:firstLine="600" w:firstLineChars="200"/>
        <w:outlineLvl w:val="1"/>
        <w:rPr>
          <w:rFonts w:ascii="Times New Roman" w:hAnsi="Times New Roman" w:eastAsia="楷体_GB2312" w:cs="Times New Roman"/>
          <w:sz w:val="30"/>
          <w:szCs w:val="30"/>
          <w:highlight w:val="none"/>
        </w:rPr>
      </w:pPr>
      <w:r>
        <w:rPr>
          <w:rFonts w:ascii="Times New Roman" w:hAnsi="Times New Roman" w:eastAsia="楷体_GB2312" w:cs="Times New Roman"/>
          <w:sz w:val="30"/>
          <w:szCs w:val="30"/>
          <w:highlight w:val="none"/>
        </w:rPr>
        <w:t>（一）高年级硕士研究生和高年级博士研究生</w:t>
      </w:r>
    </w:p>
    <w:p w14:paraId="62533E7C">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核算成绩=综合素质+学业成绩+科研成绩+附加分。</w:t>
      </w:r>
    </w:p>
    <w:p w14:paraId="6E2598CC">
      <w:pPr>
        <w:ind w:firstLine="600" w:firstLineChars="200"/>
        <w:outlineLvl w:val="2"/>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1.</w:t>
      </w:r>
      <w:r>
        <w:rPr>
          <w:rFonts w:hint="eastAsia" w:ascii="Times New Roman" w:hAnsi="Times New Roman" w:eastAsia="仿宋_GB2312" w:cs="Times New Roman"/>
          <w:sz w:val="30"/>
          <w:szCs w:val="30"/>
          <w:highlight w:val="none"/>
        </w:rPr>
        <w:t xml:space="preserve"> </w:t>
      </w:r>
      <w:r>
        <w:rPr>
          <w:rFonts w:ascii="Times New Roman" w:hAnsi="Times New Roman" w:eastAsia="仿宋_GB2312" w:cs="Times New Roman"/>
          <w:sz w:val="30"/>
          <w:szCs w:val="30"/>
          <w:highlight w:val="none"/>
        </w:rPr>
        <w:t>综合素质（满分为10分）</w:t>
      </w:r>
    </w:p>
    <w:p w14:paraId="4CBB480C">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（1）思想政治品德：由研究生导师和研究生奖助评定工作小组根据学生热爱社会主义祖国，拥护中国共产党的领导；遵守宪法和法律；遵守学校规章制度；诚实守信，道德品质优良，学术作风端正</w:t>
      </w:r>
      <w:r>
        <w:rPr>
          <w:rFonts w:hint="eastAsia" w:ascii="Times New Roman" w:hAnsi="Times New Roman" w:eastAsia="仿宋_GB2312" w:cs="Times New Roman"/>
          <w:sz w:val="30"/>
          <w:szCs w:val="30"/>
          <w:highlight w:val="none"/>
        </w:rPr>
        <w:t>，</w:t>
      </w:r>
      <w:r>
        <w:rPr>
          <w:rFonts w:ascii="Times New Roman" w:hAnsi="Times New Roman" w:eastAsia="仿宋_GB2312" w:cs="Times New Roman"/>
          <w:sz w:val="30"/>
          <w:szCs w:val="30"/>
          <w:highlight w:val="none"/>
        </w:rPr>
        <w:t>青年大学习等情况进行综合打分，满分5分。</w:t>
      </w:r>
    </w:p>
    <w:p w14:paraId="4720F74A">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（2）劳育：由研究生导师根据学生的劳动观和劳动态度，以及是否崇尚劳动、尊重劳动，养成劳动习惯；遵守实验室管理制度，按时完成导师交办的任务等情况进行综合打分，满分3分。</w:t>
      </w:r>
    </w:p>
    <w:p w14:paraId="65CBB2C7">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（3）获得校级以上（含校级）优秀</w:t>
      </w:r>
      <w:r>
        <w:rPr>
          <w:rFonts w:hint="eastAsia" w:ascii="Times New Roman" w:hAnsi="Times New Roman" w:eastAsia="仿宋_GB2312" w:cs="Times New Roman"/>
          <w:sz w:val="30"/>
          <w:szCs w:val="30"/>
          <w:highlight w:val="none"/>
        </w:rPr>
        <w:t>大学</w:t>
      </w:r>
      <w:r>
        <w:rPr>
          <w:rFonts w:ascii="Times New Roman" w:hAnsi="Times New Roman" w:eastAsia="仿宋_GB2312" w:cs="Times New Roman"/>
          <w:sz w:val="30"/>
          <w:szCs w:val="30"/>
          <w:highlight w:val="none"/>
        </w:rPr>
        <w:t>生、优秀</w:t>
      </w:r>
      <w:r>
        <w:rPr>
          <w:rFonts w:hint="eastAsia" w:ascii="Times New Roman" w:hAnsi="Times New Roman" w:eastAsia="仿宋_GB2312" w:cs="Times New Roman"/>
          <w:sz w:val="30"/>
          <w:szCs w:val="30"/>
          <w:highlight w:val="none"/>
        </w:rPr>
        <w:t>学</w:t>
      </w:r>
      <w:r>
        <w:rPr>
          <w:rFonts w:ascii="Times New Roman" w:hAnsi="Times New Roman" w:eastAsia="仿宋_GB2312" w:cs="Times New Roman"/>
          <w:sz w:val="30"/>
          <w:szCs w:val="30"/>
          <w:highlight w:val="none"/>
        </w:rPr>
        <w:t>生干部、优秀</w:t>
      </w:r>
      <w:r>
        <w:rPr>
          <w:rFonts w:hint="eastAsia" w:ascii="Times New Roman" w:hAnsi="Times New Roman" w:eastAsia="仿宋_GB2312" w:cs="Times New Roman"/>
          <w:sz w:val="30"/>
          <w:szCs w:val="30"/>
          <w:highlight w:val="none"/>
        </w:rPr>
        <w:t>共产</w:t>
      </w:r>
      <w:r>
        <w:rPr>
          <w:rFonts w:ascii="Times New Roman" w:hAnsi="Times New Roman" w:eastAsia="仿宋_GB2312" w:cs="Times New Roman"/>
          <w:sz w:val="30"/>
          <w:szCs w:val="30"/>
          <w:highlight w:val="none"/>
        </w:rPr>
        <w:t>党员、优秀</w:t>
      </w:r>
      <w:r>
        <w:rPr>
          <w:rFonts w:hint="eastAsia" w:ascii="Times New Roman" w:hAnsi="Times New Roman" w:eastAsia="仿宋_GB2312" w:cs="Times New Roman"/>
          <w:sz w:val="30"/>
          <w:szCs w:val="30"/>
          <w:highlight w:val="none"/>
        </w:rPr>
        <w:t>共青</w:t>
      </w:r>
      <w:r>
        <w:rPr>
          <w:rFonts w:ascii="Times New Roman" w:hAnsi="Times New Roman" w:eastAsia="仿宋_GB2312" w:cs="Times New Roman"/>
          <w:sz w:val="30"/>
          <w:szCs w:val="30"/>
          <w:highlight w:val="none"/>
        </w:rPr>
        <w:t>团干部、优秀</w:t>
      </w:r>
      <w:r>
        <w:rPr>
          <w:rFonts w:hint="eastAsia" w:ascii="Times New Roman" w:hAnsi="Times New Roman" w:eastAsia="仿宋_GB2312" w:cs="Times New Roman"/>
          <w:sz w:val="30"/>
          <w:szCs w:val="30"/>
          <w:highlight w:val="none"/>
        </w:rPr>
        <w:t>共青</w:t>
      </w:r>
      <w:r>
        <w:rPr>
          <w:rFonts w:ascii="Times New Roman" w:hAnsi="Times New Roman" w:eastAsia="仿宋_GB2312" w:cs="Times New Roman"/>
          <w:sz w:val="30"/>
          <w:szCs w:val="30"/>
          <w:highlight w:val="none"/>
        </w:rPr>
        <w:t>团员等荣誉者（仅限硕士或博士研究生在读期间所获荣誉，以表彰文件或证书为准）每项加0.</w:t>
      </w:r>
      <w:r>
        <w:rPr>
          <w:rFonts w:hint="eastAsia" w:ascii="Times New Roman" w:hAnsi="Times New Roman" w:eastAsia="仿宋_GB2312" w:cs="Times New Roman"/>
          <w:sz w:val="30"/>
          <w:szCs w:val="30"/>
          <w:highlight w:val="none"/>
        </w:rPr>
        <w:t>5</w:t>
      </w:r>
      <w:r>
        <w:rPr>
          <w:rFonts w:ascii="Times New Roman" w:hAnsi="Times New Roman" w:eastAsia="仿宋_GB2312" w:cs="Times New Roman"/>
          <w:sz w:val="30"/>
          <w:szCs w:val="30"/>
          <w:highlight w:val="none"/>
        </w:rPr>
        <w:t>分，可累计加分，满分2分。</w:t>
      </w:r>
    </w:p>
    <w:p w14:paraId="409A3861">
      <w:pPr>
        <w:ind w:firstLine="600" w:firstLineChars="200"/>
        <w:outlineLvl w:val="2"/>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2.</w:t>
      </w:r>
      <w:r>
        <w:rPr>
          <w:rFonts w:hint="eastAsia" w:ascii="Times New Roman" w:hAnsi="Times New Roman" w:eastAsia="仿宋_GB2312" w:cs="Times New Roman"/>
          <w:sz w:val="30"/>
          <w:szCs w:val="30"/>
          <w:highlight w:val="none"/>
        </w:rPr>
        <w:t xml:space="preserve"> </w:t>
      </w:r>
      <w:r>
        <w:rPr>
          <w:rFonts w:ascii="Times New Roman" w:hAnsi="Times New Roman" w:eastAsia="仿宋_GB2312" w:cs="Times New Roman"/>
          <w:sz w:val="30"/>
          <w:szCs w:val="30"/>
          <w:highlight w:val="none"/>
        </w:rPr>
        <w:t>学业成绩（满分为30分）</w:t>
      </w:r>
    </w:p>
    <w:p w14:paraId="149B174A">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学业成绩=学位课加权平均分×30%。</w:t>
      </w:r>
    </w:p>
    <w:p w14:paraId="1053F372">
      <w:pPr>
        <w:ind w:firstLine="600" w:firstLineChars="200"/>
        <w:outlineLvl w:val="2"/>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由研究生办公室开具申请人学业成绩证明</w:t>
      </w:r>
      <w:r>
        <w:rPr>
          <w:rFonts w:hint="eastAsia" w:ascii="Times New Roman" w:hAnsi="Times New Roman" w:eastAsia="仿宋_GB2312" w:cs="Times New Roman"/>
          <w:sz w:val="30"/>
          <w:szCs w:val="30"/>
          <w:highlight w:val="none"/>
          <w:lang w:val="en-US" w:eastAsia="zh-CN"/>
        </w:rPr>
        <w:t>或在学校官网一网通办证明文件下载中下载中文成绩单作为成绩证明</w:t>
      </w:r>
      <w:r>
        <w:rPr>
          <w:rFonts w:ascii="Times New Roman" w:hAnsi="Times New Roman" w:eastAsia="仿宋_GB2312" w:cs="Times New Roman"/>
          <w:sz w:val="30"/>
          <w:szCs w:val="30"/>
          <w:highlight w:val="none"/>
        </w:rPr>
        <w:t>。</w:t>
      </w:r>
    </w:p>
    <w:p w14:paraId="7B916786">
      <w:pPr>
        <w:ind w:firstLine="600" w:firstLineChars="200"/>
        <w:outlineLvl w:val="2"/>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3.</w:t>
      </w:r>
      <w:r>
        <w:rPr>
          <w:rFonts w:hint="eastAsia" w:ascii="Times New Roman" w:hAnsi="Times New Roman" w:eastAsia="仿宋_GB2312" w:cs="Times New Roman"/>
          <w:sz w:val="30"/>
          <w:szCs w:val="30"/>
          <w:highlight w:val="none"/>
        </w:rPr>
        <w:t xml:space="preserve"> </w:t>
      </w:r>
      <w:r>
        <w:rPr>
          <w:rFonts w:ascii="Times New Roman" w:hAnsi="Times New Roman" w:eastAsia="仿宋_GB2312" w:cs="Times New Roman"/>
          <w:sz w:val="30"/>
          <w:szCs w:val="30"/>
          <w:highlight w:val="none"/>
        </w:rPr>
        <w:t>科研业绩（满分为60分）</w:t>
      </w:r>
    </w:p>
    <w:p w14:paraId="26B3049E">
      <w:pPr>
        <w:ind w:firstLine="600" w:firstLineChars="200"/>
        <w:outlineLvl w:val="2"/>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申请人所提交申请材料的认定时间范围为自入学注册之日起到评奖材料提交之日止。申请人所提交的申请材料必须与申请人研究方向一致。</w:t>
      </w:r>
    </w:p>
    <w:p w14:paraId="0BCBF6B9">
      <w:pPr>
        <w:ind w:firstLine="600" w:firstLineChars="200"/>
        <w:outlineLvl w:val="2"/>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（1）科研论文</w:t>
      </w:r>
    </w:p>
    <w:p w14:paraId="57EA03E9">
      <w:pPr>
        <w:ind w:firstLine="600" w:firstLineChars="200"/>
        <w:outlineLvl w:val="2"/>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在Nature、Science、Cell主刊以第一作者或并列第一作者全文发表学术论文者，在满足基本申请条件和参评资格要求时，直接评定为申请当年的国家奖学金获得者。</w:t>
      </w:r>
    </w:p>
    <w:p w14:paraId="1004F6BB">
      <w:pPr>
        <w:ind w:firstLine="600" w:firstLineChars="200"/>
        <w:outlineLvl w:val="2"/>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科研论文加分细则：</w:t>
      </w:r>
    </w:p>
    <w:tbl>
      <w:tblPr>
        <w:tblStyle w:val="11"/>
        <w:tblpPr w:leftFromText="180" w:rightFromText="180" w:vertAnchor="text" w:horzAnchor="margin" w:tblpY="577"/>
        <w:tblW w:w="960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43"/>
        <w:gridCol w:w="2265"/>
        <w:gridCol w:w="2879"/>
        <w:gridCol w:w="3119"/>
      </w:tblGrid>
      <w:tr w14:paraId="71688E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6" w:hRule="atLeast"/>
        </w:trPr>
        <w:tc>
          <w:tcPr>
            <w:tcW w:w="1343" w:type="dxa"/>
            <w:vAlign w:val="center"/>
          </w:tcPr>
          <w:p w14:paraId="6294BC7D">
            <w:pPr>
              <w:widowControl/>
              <w:tabs>
                <w:tab w:val="left" w:pos="0"/>
              </w:tabs>
              <w:jc w:val="center"/>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发表刊物</w:t>
            </w:r>
          </w:p>
        </w:tc>
        <w:tc>
          <w:tcPr>
            <w:tcW w:w="2265" w:type="dxa"/>
            <w:vAlign w:val="center"/>
          </w:tcPr>
          <w:p w14:paraId="30E62B9B">
            <w:pPr>
              <w:widowControl/>
              <w:tabs>
                <w:tab w:val="left" w:pos="0"/>
              </w:tabs>
              <w:jc w:val="center"/>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唯一第一作者得分</w:t>
            </w:r>
          </w:p>
        </w:tc>
        <w:tc>
          <w:tcPr>
            <w:tcW w:w="2879" w:type="dxa"/>
            <w:vAlign w:val="center"/>
          </w:tcPr>
          <w:p w14:paraId="445EF825">
            <w:pPr>
              <w:widowControl/>
              <w:tabs>
                <w:tab w:val="left" w:pos="0"/>
              </w:tabs>
              <w:jc w:val="center"/>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计分说明</w:t>
            </w:r>
          </w:p>
        </w:tc>
        <w:tc>
          <w:tcPr>
            <w:tcW w:w="3119" w:type="dxa"/>
            <w:vAlign w:val="center"/>
          </w:tcPr>
          <w:p w14:paraId="2534C9BC">
            <w:pPr>
              <w:widowControl/>
              <w:tabs>
                <w:tab w:val="left" w:pos="0"/>
              </w:tabs>
              <w:jc w:val="center"/>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材料认定说明</w:t>
            </w:r>
          </w:p>
        </w:tc>
      </w:tr>
      <w:tr w14:paraId="39444E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337" w:hRule="atLeast"/>
        </w:trPr>
        <w:tc>
          <w:tcPr>
            <w:tcW w:w="1343" w:type="dxa"/>
            <w:vMerge w:val="restart"/>
            <w:vAlign w:val="center"/>
          </w:tcPr>
          <w:p w14:paraId="535CBB45">
            <w:pPr>
              <w:widowControl/>
              <w:shd w:val="clear" w:color="auto" w:fill="FFFFFF"/>
              <w:spacing w:line="360" w:lineRule="auto"/>
              <w:jc w:val="center"/>
              <w:rPr>
                <w:rFonts w:hint="eastAsia" w:ascii="Times New Roman" w:hAnsi="Times New Roman" w:eastAsia="仿宋" w:cs="仿宋"/>
                <w:bCs/>
                <w:color w:val="auto"/>
                <w:kern w:val="15"/>
                <w:sz w:val="24"/>
                <w:szCs w:val="24"/>
                <w:highlight w:val="none"/>
                <w:lang w:val="en-US" w:eastAsia="zh-CN"/>
              </w:rPr>
            </w:pPr>
            <w:r>
              <w:rPr>
                <w:rFonts w:hint="eastAsia" w:ascii="Times New Roman" w:hAnsi="Times New Roman" w:eastAsia="仿宋" w:cs="仿宋"/>
                <w:bCs/>
                <w:color w:val="auto"/>
                <w:kern w:val="15"/>
                <w:sz w:val="24"/>
                <w:szCs w:val="24"/>
                <w:highlight w:val="none"/>
                <w:lang w:val="en-US" w:eastAsia="zh-CN"/>
              </w:rPr>
              <w:t>SCI</w:t>
            </w:r>
          </w:p>
          <w:p w14:paraId="33CA4E2E">
            <w:pPr>
              <w:widowControl/>
              <w:shd w:val="clear" w:color="auto" w:fill="FFFFFF"/>
              <w:spacing w:line="360" w:lineRule="auto"/>
              <w:jc w:val="center"/>
              <w:rPr>
                <w:rFonts w:hint="eastAsia" w:ascii="Times New Roman" w:hAnsi="Times New Roman" w:eastAsia="黑体" w:cs="Times New Roman"/>
                <w:bCs/>
                <w:kern w:val="15"/>
                <w:sz w:val="24"/>
                <w:szCs w:val="24"/>
                <w:highlight w:val="none"/>
                <w:lang w:eastAsia="zh-CN"/>
              </w:rPr>
            </w:pPr>
            <w:r>
              <w:rPr>
                <w:rFonts w:hint="eastAsia" w:ascii="Times New Roman" w:hAnsi="Times New Roman" w:eastAsia="仿宋" w:cs="仿宋"/>
                <w:bCs/>
                <w:color w:val="auto"/>
                <w:kern w:val="15"/>
                <w:sz w:val="24"/>
                <w:szCs w:val="24"/>
                <w:highlight w:val="none"/>
                <w:lang w:val="en-US" w:eastAsia="zh-CN"/>
              </w:rPr>
              <w:t>论文</w:t>
            </w:r>
          </w:p>
        </w:tc>
        <w:tc>
          <w:tcPr>
            <w:tcW w:w="2265" w:type="dxa"/>
            <w:vAlign w:val="center"/>
          </w:tcPr>
          <w:p w14:paraId="222E5550">
            <w:pPr>
              <w:widowControl/>
              <w:shd w:val="clear" w:color="auto" w:fill="FFFFFF"/>
              <w:spacing w:line="360" w:lineRule="auto"/>
              <w:jc w:val="center"/>
              <w:rPr>
                <w:rFonts w:hint="default" w:ascii="Times New Roman" w:hAnsi="Times New Roman" w:cs="Times New Roman" w:eastAsiaTheme="minorEastAsia"/>
                <w:sz w:val="24"/>
                <w:szCs w:val="28"/>
                <w:highlight w:val="none"/>
                <w:lang w:val="en-US" w:eastAsia="zh-CN"/>
              </w:rPr>
            </w:pPr>
            <w:r>
              <w:rPr>
                <w:rFonts w:hint="eastAsia" w:ascii="Times New Roman" w:hAnsi="Times New Roman" w:eastAsia="仿宋" w:cs="仿宋"/>
                <w:bCs/>
                <w:color w:val="auto"/>
                <w:kern w:val="15"/>
                <w:sz w:val="24"/>
                <w:szCs w:val="24"/>
                <w:highlight w:val="none"/>
                <w:lang w:val="en-US" w:eastAsia="zh-CN"/>
              </w:rPr>
              <w:t>中科院一区（大类）期刊论文加40分，其中学校认定为G1期刊的额外加20分，学校认定为原G2期刊的额外加10分</w:t>
            </w:r>
          </w:p>
        </w:tc>
        <w:tc>
          <w:tcPr>
            <w:tcW w:w="2879" w:type="dxa"/>
            <w:vMerge w:val="restart"/>
            <w:vAlign w:val="top"/>
          </w:tcPr>
          <w:p w14:paraId="236A14C4">
            <w:pPr>
              <w:widowControl/>
              <w:shd w:val="clear" w:color="auto" w:fill="FFFFFF"/>
              <w:spacing w:line="360" w:lineRule="auto"/>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1.论文没有并列第一作者时，论文第二作者以唯一第一作者得分的20%计分，第三作者以唯一第一作者得分的10%计分，第四及以后作者以唯一第一作者的5%计分。</w:t>
            </w:r>
          </w:p>
          <w:p w14:paraId="367DFB77">
            <w:pPr>
              <w:widowControl/>
              <w:shd w:val="clear" w:color="auto" w:fill="FFFFFF"/>
              <w:spacing w:line="360" w:lineRule="auto"/>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2.论文有两位并列第一作者时，作者按照排名分别以唯一第一作者的60%和40%</w:t>
            </w:r>
            <w:r>
              <w:rPr>
                <w:rFonts w:hint="eastAsia" w:ascii="Times New Roman" w:hAnsi="Times New Roman" w:cs="Times New Roman" w:eastAsiaTheme="minorEastAsia"/>
                <w:sz w:val="24"/>
                <w:szCs w:val="28"/>
                <w:highlight w:val="none"/>
                <w:lang w:val="en-US" w:eastAsia="zh-CN"/>
              </w:rPr>
              <w:t>计分</w:t>
            </w:r>
            <w:r>
              <w:rPr>
                <w:rFonts w:hint="eastAsia" w:ascii="Times New Roman" w:hAnsi="Times New Roman" w:cs="Times New Roman" w:eastAsiaTheme="minorEastAsia"/>
                <w:sz w:val="24"/>
                <w:szCs w:val="28"/>
                <w:highlight w:val="none"/>
                <w:lang w:eastAsia="zh-CN"/>
              </w:rPr>
              <w:t>，</w:t>
            </w:r>
            <w:r>
              <w:rPr>
                <w:rFonts w:hint="eastAsia" w:ascii="Times New Roman" w:hAnsi="Times New Roman" w:cs="Times New Roman" w:eastAsiaTheme="minorEastAsia"/>
                <w:sz w:val="24"/>
                <w:szCs w:val="28"/>
                <w:highlight w:val="none"/>
                <w:lang w:val="en-US" w:eastAsia="zh-CN"/>
              </w:rPr>
              <w:t>第三位次作者</w:t>
            </w:r>
            <w:r>
              <w:rPr>
                <w:rFonts w:ascii="Times New Roman" w:hAnsi="Times New Roman" w:cs="Times New Roman" w:eastAsiaTheme="minorEastAsia"/>
                <w:sz w:val="24"/>
                <w:szCs w:val="28"/>
                <w:highlight w:val="none"/>
              </w:rPr>
              <w:t>以唯一第一作者得分的10%计分、第四</w:t>
            </w:r>
            <w:r>
              <w:rPr>
                <w:rFonts w:hint="eastAsia" w:ascii="Times New Roman" w:hAnsi="Times New Roman" w:cs="Times New Roman" w:eastAsiaTheme="minorEastAsia"/>
                <w:sz w:val="24"/>
                <w:szCs w:val="28"/>
                <w:highlight w:val="none"/>
                <w:lang w:val="en-US" w:eastAsia="zh-CN"/>
              </w:rPr>
              <w:t>位次</w:t>
            </w:r>
            <w:r>
              <w:rPr>
                <w:rFonts w:ascii="Times New Roman" w:hAnsi="Times New Roman" w:cs="Times New Roman" w:eastAsiaTheme="minorEastAsia"/>
                <w:sz w:val="24"/>
                <w:szCs w:val="28"/>
                <w:highlight w:val="none"/>
              </w:rPr>
              <w:t>及以后作者以唯一第一作者的5%计分；有三位并列第一作者时，作者按照排名分别以唯一第一作者的50%、30%、20%计分</w:t>
            </w:r>
            <w:r>
              <w:rPr>
                <w:rFonts w:hint="eastAsia" w:ascii="Times New Roman" w:hAnsi="Times New Roman" w:cs="Times New Roman" w:eastAsiaTheme="minorEastAsia"/>
                <w:sz w:val="24"/>
                <w:szCs w:val="28"/>
                <w:highlight w:val="none"/>
                <w:lang w:eastAsia="zh-CN"/>
              </w:rPr>
              <w:t>，</w:t>
            </w:r>
            <w:r>
              <w:rPr>
                <w:rFonts w:ascii="Times New Roman" w:hAnsi="Times New Roman" w:cs="Times New Roman" w:eastAsiaTheme="minorEastAsia"/>
                <w:sz w:val="24"/>
                <w:szCs w:val="28"/>
                <w:highlight w:val="none"/>
              </w:rPr>
              <w:t>第四</w:t>
            </w:r>
            <w:r>
              <w:rPr>
                <w:rFonts w:hint="eastAsia" w:ascii="Times New Roman" w:hAnsi="Times New Roman" w:cs="Times New Roman" w:eastAsiaTheme="minorEastAsia"/>
                <w:sz w:val="24"/>
                <w:szCs w:val="28"/>
                <w:highlight w:val="none"/>
                <w:lang w:val="en-US" w:eastAsia="zh-CN"/>
              </w:rPr>
              <w:t>位次</w:t>
            </w:r>
            <w:r>
              <w:rPr>
                <w:rFonts w:ascii="Times New Roman" w:hAnsi="Times New Roman" w:cs="Times New Roman" w:eastAsiaTheme="minorEastAsia"/>
                <w:sz w:val="24"/>
                <w:szCs w:val="28"/>
                <w:highlight w:val="none"/>
              </w:rPr>
              <w:t>及以后作者以唯一第一作者的5%计分；有四位并列第一作者时，作者按照排名分别以唯一第一作者的40%、30%、15%、15%计分；有超过四位并列第一作者时，按照有四位并列第一作者时计分。第四</w:t>
            </w:r>
            <w:r>
              <w:rPr>
                <w:rFonts w:hint="eastAsia" w:ascii="Times New Roman" w:hAnsi="Times New Roman" w:cs="Times New Roman" w:eastAsiaTheme="minorEastAsia"/>
                <w:sz w:val="24"/>
                <w:szCs w:val="28"/>
                <w:highlight w:val="none"/>
                <w:lang w:val="en-US" w:eastAsia="zh-CN"/>
              </w:rPr>
              <w:t>位</w:t>
            </w:r>
            <w:r>
              <w:rPr>
                <w:rFonts w:ascii="Times New Roman" w:hAnsi="Times New Roman" w:cs="Times New Roman" w:eastAsiaTheme="minorEastAsia"/>
                <w:sz w:val="24"/>
                <w:szCs w:val="28"/>
                <w:highlight w:val="none"/>
              </w:rPr>
              <w:t>以后作者以唯一第一作者的5%计分。</w:t>
            </w:r>
          </w:p>
        </w:tc>
        <w:tc>
          <w:tcPr>
            <w:tcW w:w="3119" w:type="dxa"/>
            <w:vMerge w:val="restart"/>
          </w:tcPr>
          <w:p w14:paraId="320B1213">
            <w:pPr>
              <w:widowControl/>
              <w:shd w:val="clear" w:color="auto" w:fill="FFFFFF"/>
              <w:spacing w:line="360" w:lineRule="auto"/>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1.</w:t>
            </w:r>
            <w:r>
              <w:rPr>
                <w:rFonts w:hint="eastAsia" w:ascii="Times New Roman" w:hAnsi="Times New Roman" w:cs="Times New Roman" w:eastAsiaTheme="minorEastAsia"/>
                <w:sz w:val="24"/>
                <w:szCs w:val="28"/>
                <w:highlight w:val="none"/>
              </w:rPr>
              <w:t>科研论文认定范围为：</w:t>
            </w:r>
            <w:r>
              <w:rPr>
                <w:rFonts w:hint="eastAsia" w:ascii="Times New Roman" w:hAnsi="Times New Roman" w:cs="Times New Roman" w:eastAsiaTheme="minorEastAsia"/>
                <w:sz w:val="24"/>
                <w:szCs w:val="28"/>
                <w:highlight w:val="none"/>
                <w:lang w:val="en-US" w:eastAsia="zh-CN"/>
              </w:rPr>
              <w:t>中科院大类一区、中科院大类二区、中科院大类三区、中科院大类四区等SCI收录论文</w:t>
            </w:r>
            <w:r>
              <w:rPr>
                <w:rFonts w:hint="eastAsia" w:ascii="Times New Roman" w:hAnsi="Times New Roman" w:cs="Times New Roman" w:eastAsiaTheme="minorEastAsia"/>
                <w:sz w:val="24"/>
                <w:szCs w:val="28"/>
                <w:highlight w:val="none"/>
              </w:rPr>
              <w:t>、G1、</w:t>
            </w:r>
            <w:r>
              <w:rPr>
                <w:rFonts w:hint="eastAsia" w:ascii="Times New Roman" w:hAnsi="Times New Roman" w:cs="Times New Roman" w:eastAsiaTheme="minorEastAsia"/>
                <w:sz w:val="24"/>
                <w:szCs w:val="28"/>
                <w:highlight w:val="none"/>
                <w:lang w:val="en-US" w:eastAsia="zh-CN"/>
              </w:rPr>
              <w:t>原</w:t>
            </w:r>
            <w:r>
              <w:rPr>
                <w:rFonts w:hint="eastAsia" w:ascii="Times New Roman" w:hAnsi="Times New Roman" w:cs="Times New Roman" w:eastAsiaTheme="minorEastAsia"/>
                <w:sz w:val="24"/>
                <w:szCs w:val="28"/>
                <w:highlight w:val="none"/>
              </w:rPr>
              <w:t>G2、EI</w:t>
            </w:r>
            <w:r>
              <w:rPr>
                <w:rFonts w:hint="eastAsia" w:ascii="Times New Roman" w:hAnsi="Times New Roman" w:cs="Times New Roman" w:eastAsiaTheme="minorEastAsia"/>
                <w:sz w:val="24"/>
                <w:szCs w:val="28"/>
                <w:highlight w:val="none"/>
                <w:lang w:val="en-US" w:eastAsia="zh-CN"/>
              </w:rPr>
              <w:t>期刊论文</w:t>
            </w:r>
            <w:r>
              <w:rPr>
                <w:rFonts w:ascii="Times New Roman" w:hAnsi="Times New Roman" w:cs="Times New Roman" w:eastAsiaTheme="minorEastAsia"/>
                <w:sz w:val="24"/>
                <w:szCs w:val="28"/>
                <w:highlight w:val="none"/>
              </w:rPr>
              <w:t>。</w:t>
            </w:r>
          </w:p>
          <w:p w14:paraId="5D0F6D35">
            <w:pPr>
              <w:widowControl/>
              <w:shd w:val="clear" w:color="auto" w:fill="FFFFFF"/>
              <w:spacing w:line="360" w:lineRule="auto"/>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其中，G1期刊论文要求申请人须为论文前六位作者；SCI收录论文要求申请人须为论文前四位作者；EI及其他论文要求申请人须为论文第一作者。</w:t>
            </w:r>
          </w:p>
          <w:p w14:paraId="50DB2FF4">
            <w:pPr>
              <w:widowControl/>
              <w:shd w:val="clear" w:color="auto" w:fill="FFFFFF"/>
              <w:spacing w:line="360" w:lineRule="auto"/>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2.科研论文需正式发表或可网上在线（online）查询，</w:t>
            </w:r>
            <w:r>
              <w:rPr>
                <w:rFonts w:ascii="Times New Roman" w:hAnsi="Times New Roman" w:cs="Times New Roman" w:eastAsiaTheme="minorEastAsia"/>
                <w:b/>
                <w:sz w:val="24"/>
                <w:szCs w:val="28"/>
                <w:highlight w:val="none"/>
              </w:rPr>
              <w:t>需提供</w:t>
            </w:r>
            <w:r>
              <w:rPr>
                <w:rFonts w:hint="eastAsia" w:ascii="Times New Roman" w:hAnsi="Times New Roman" w:cs="Times New Roman" w:eastAsiaTheme="minorEastAsia"/>
                <w:b/>
                <w:sz w:val="24"/>
                <w:szCs w:val="28"/>
                <w:highlight w:val="none"/>
              </w:rPr>
              <w:t>图书馆</w:t>
            </w:r>
            <w:r>
              <w:rPr>
                <w:rFonts w:ascii="Times New Roman" w:hAnsi="Times New Roman" w:cs="Times New Roman" w:eastAsiaTheme="minorEastAsia"/>
                <w:b/>
                <w:sz w:val="24"/>
                <w:szCs w:val="28"/>
                <w:highlight w:val="none"/>
              </w:rPr>
              <w:t>检索证明</w:t>
            </w:r>
            <w:r>
              <w:rPr>
                <w:rFonts w:hint="eastAsia" w:ascii="Times New Roman" w:hAnsi="Times New Roman" w:cs="Times New Roman" w:eastAsiaTheme="minorEastAsia"/>
                <w:b/>
                <w:sz w:val="24"/>
                <w:szCs w:val="28"/>
                <w:highlight w:val="none"/>
              </w:rPr>
              <w:t>和</w:t>
            </w:r>
            <w:r>
              <w:rPr>
                <w:rFonts w:ascii="Times New Roman" w:hAnsi="Times New Roman" w:cs="Times New Roman" w:eastAsiaTheme="minorEastAsia"/>
                <w:b/>
                <w:sz w:val="24"/>
                <w:szCs w:val="28"/>
                <w:highlight w:val="none"/>
              </w:rPr>
              <w:t>网上在线全文打印件</w:t>
            </w:r>
            <w:r>
              <w:rPr>
                <w:rFonts w:ascii="Times New Roman" w:hAnsi="Times New Roman" w:cs="Times New Roman" w:eastAsiaTheme="minorEastAsia"/>
                <w:sz w:val="24"/>
                <w:szCs w:val="28"/>
                <w:highlight w:val="none"/>
              </w:rPr>
              <w:t>，经导师签字认定。</w:t>
            </w:r>
          </w:p>
          <w:p w14:paraId="7CFD0E5D">
            <w:pPr>
              <w:widowControl/>
              <w:shd w:val="clear" w:color="auto" w:fill="FFFFFF"/>
              <w:spacing w:line="360" w:lineRule="auto"/>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3.科研论文必须以西北农林科技大学为第一署名单位。申请人导师须为论文的通讯作者之一。</w:t>
            </w:r>
          </w:p>
          <w:p w14:paraId="4B112422">
            <w:pPr>
              <w:widowControl/>
              <w:shd w:val="clear" w:color="auto" w:fill="FFFFFF"/>
              <w:spacing w:line="360" w:lineRule="auto"/>
              <w:rPr>
                <w:rFonts w:ascii="Times New Roman" w:hAnsi="Times New Roman" w:cs="Times New Roman" w:eastAsiaTheme="minorEastAsia"/>
                <w:sz w:val="24"/>
                <w:szCs w:val="28"/>
                <w:highlight w:val="none"/>
              </w:rPr>
            </w:pPr>
          </w:p>
        </w:tc>
      </w:tr>
      <w:tr w14:paraId="3E7EFD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409" w:hRule="atLeast"/>
        </w:trPr>
        <w:tc>
          <w:tcPr>
            <w:tcW w:w="1343" w:type="dxa"/>
            <w:vMerge w:val="continue"/>
            <w:vAlign w:val="center"/>
          </w:tcPr>
          <w:p w14:paraId="2374228D">
            <w:pPr>
              <w:widowControl/>
              <w:shd w:val="clear" w:color="auto" w:fill="FFFFFF"/>
              <w:spacing w:line="360" w:lineRule="auto"/>
              <w:jc w:val="center"/>
              <w:rPr>
                <w:rFonts w:hint="eastAsia" w:ascii="Times New Roman" w:hAnsi="Times New Roman" w:eastAsia="黑体" w:cs="Times New Roman"/>
                <w:bCs/>
                <w:kern w:val="15"/>
                <w:sz w:val="24"/>
                <w:szCs w:val="24"/>
                <w:highlight w:val="none"/>
                <w:lang w:eastAsia="zh-CN"/>
              </w:rPr>
            </w:pPr>
          </w:p>
        </w:tc>
        <w:tc>
          <w:tcPr>
            <w:tcW w:w="2265" w:type="dxa"/>
            <w:vAlign w:val="center"/>
          </w:tcPr>
          <w:p w14:paraId="2B3F6AAA">
            <w:pPr>
              <w:widowControl/>
              <w:shd w:val="clear" w:color="auto" w:fill="FFFFFF"/>
              <w:spacing w:line="360" w:lineRule="auto"/>
              <w:jc w:val="center"/>
              <w:rPr>
                <w:rFonts w:ascii="Times New Roman" w:hAnsi="Times New Roman" w:cs="Times New Roman" w:eastAsiaTheme="minorEastAsia"/>
                <w:sz w:val="24"/>
                <w:szCs w:val="28"/>
                <w:highlight w:val="none"/>
              </w:rPr>
            </w:pPr>
            <w:r>
              <w:rPr>
                <w:rFonts w:hint="eastAsia" w:ascii="Times New Roman" w:hAnsi="Times New Roman" w:eastAsia="仿宋" w:cs="仿宋"/>
                <w:bCs/>
                <w:color w:val="auto"/>
                <w:kern w:val="15"/>
                <w:sz w:val="24"/>
                <w:szCs w:val="24"/>
                <w:highlight w:val="none"/>
                <w:lang w:val="en-US" w:eastAsia="zh-CN"/>
              </w:rPr>
              <w:t>中科院二区（大类）期刊论文加30分</w:t>
            </w:r>
          </w:p>
        </w:tc>
        <w:tc>
          <w:tcPr>
            <w:tcW w:w="2879" w:type="dxa"/>
            <w:vMerge w:val="continue"/>
          </w:tcPr>
          <w:p w14:paraId="0CFD5E14">
            <w:pPr>
              <w:widowControl/>
              <w:shd w:val="clear" w:color="auto" w:fill="FFFFFF"/>
              <w:ind w:firstLine="480" w:firstLineChars="200"/>
              <w:rPr>
                <w:rFonts w:ascii="Times New Roman" w:hAnsi="Times New Roman" w:cs="Times New Roman" w:eastAsiaTheme="minorEastAsia"/>
                <w:sz w:val="24"/>
                <w:szCs w:val="28"/>
                <w:highlight w:val="none"/>
              </w:rPr>
            </w:pPr>
          </w:p>
        </w:tc>
        <w:tc>
          <w:tcPr>
            <w:tcW w:w="3119" w:type="dxa"/>
            <w:vMerge w:val="continue"/>
          </w:tcPr>
          <w:p w14:paraId="2C4BF961">
            <w:pPr>
              <w:widowControl/>
              <w:shd w:val="clear" w:color="auto" w:fill="FFFFFF"/>
              <w:ind w:firstLine="480" w:firstLineChars="200"/>
              <w:rPr>
                <w:rFonts w:ascii="Times New Roman" w:hAnsi="Times New Roman" w:cs="Times New Roman" w:eastAsiaTheme="minorEastAsia"/>
                <w:sz w:val="24"/>
                <w:szCs w:val="28"/>
                <w:highlight w:val="none"/>
              </w:rPr>
            </w:pPr>
          </w:p>
        </w:tc>
      </w:tr>
      <w:tr w14:paraId="660230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701" w:hRule="atLeast"/>
        </w:trPr>
        <w:tc>
          <w:tcPr>
            <w:tcW w:w="1343" w:type="dxa"/>
            <w:vMerge w:val="continue"/>
            <w:vAlign w:val="center"/>
          </w:tcPr>
          <w:p w14:paraId="076B8BDD">
            <w:pPr>
              <w:widowControl/>
              <w:shd w:val="clear" w:color="auto" w:fill="FFFFFF"/>
              <w:spacing w:line="360" w:lineRule="auto"/>
              <w:rPr>
                <w:rFonts w:ascii="Times New Roman" w:hAnsi="Times New Roman" w:cs="Times New Roman" w:eastAsiaTheme="minorEastAsia"/>
                <w:sz w:val="24"/>
                <w:szCs w:val="28"/>
                <w:highlight w:val="none"/>
              </w:rPr>
            </w:pPr>
          </w:p>
        </w:tc>
        <w:tc>
          <w:tcPr>
            <w:tcW w:w="2265" w:type="dxa"/>
            <w:vAlign w:val="center"/>
          </w:tcPr>
          <w:p w14:paraId="35351A02">
            <w:pPr>
              <w:widowControl/>
              <w:shd w:val="clear" w:color="auto" w:fill="FFFFFF"/>
              <w:spacing w:line="360" w:lineRule="auto"/>
              <w:jc w:val="center"/>
              <w:rPr>
                <w:rFonts w:ascii="Times New Roman" w:hAnsi="Times New Roman" w:cs="Times New Roman" w:eastAsiaTheme="minorEastAsia"/>
                <w:sz w:val="24"/>
                <w:szCs w:val="28"/>
                <w:highlight w:val="none"/>
              </w:rPr>
            </w:pPr>
            <w:r>
              <w:rPr>
                <w:rFonts w:hint="eastAsia" w:ascii="Times New Roman" w:hAnsi="Times New Roman" w:eastAsia="仿宋" w:cs="仿宋"/>
                <w:bCs/>
                <w:color w:val="auto"/>
                <w:kern w:val="15"/>
                <w:sz w:val="24"/>
                <w:szCs w:val="24"/>
                <w:highlight w:val="none"/>
                <w:lang w:val="en-US" w:eastAsia="zh-CN"/>
              </w:rPr>
              <w:t>中科院三区（大类）期刊论文加15分</w:t>
            </w:r>
          </w:p>
        </w:tc>
        <w:tc>
          <w:tcPr>
            <w:tcW w:w="2879" w:type="dxa"/>
            <w:vMerge w:val="continue"/>
          </w:tcPr>
          <w:p w14:paraId="1301E017">
            <w:pPr>
              <w:widowControl/>
              <w:shd w:val="clear" w:color="auto" w:fill="FFFFFF"/>
              <w:ind w:firstLine="480" w:firstLineChars="200"/>
              <w:rPr>
                <w:rFonts w:ascii="Times New Roman" w:hAnsi="Times New Roman" w:cs="Times New Roman" w:eastAsiaTheme="minorEastAsia"/>
                <w:sz w:val="24"/>
                <w:szCs w:val="28"/>
                <w:highlight w:val="none"/>
              </w:rPr>
            </w:pPr>
          </w:p>
        </w:tc>
        <w:tc>
          <w:tcPr>
            <w:tcW w:w="3119" w:type="dxa"/>
            <w:vMerge w:val="continue"/>
          </w:tcPr>
          <w:p w14:paraId="7F83D8E3">
            <w:pPr>
              <w:widowControl/>
              <w:shd w:val="clear" w:color="auto" w:fill="FFFFFF"/>
              <w:ind w:firstLine="480" w:firstLineChars="200"/>
              <w:rPr>
                <w:rFonts w:ascii="Times New Roman" w:hAnsi="Times New Roman" w:cs="Times New Roman" w:eastAsiaTheme="minorEastAsia"/>
                <w:sz w:val="24"/>
                <w:szCs w:val="28"/>
                <w:highlight w:val="none"/>
              </w:rPr>
            </w:pPr>
          </w:p>
        </w:tc>
      </w:tr>
      <w:tr w14:paraId="7A0398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696" w:hRule="atLeast"/>
        </w:trPr>
        <w:tc>
          <w:tcPr>
            <w:tcW w:w="1343" w:type="dxa"/>
            <w:vMerge w:val="continue"/>
            <w:vAlign w:val="center"/>
          </w:tcPr>
          <w:p w14:paraId="5694F680">
            <w:pPr>
              <w:widowControl/>
              <w:shd w:val="clear" w:color="auto" w:fill="FFFFFF"/>
              <w:spacing w:line="360" w:lineRule="auto"/>
              <w:rPr>
                <w:rFonts w:ascii="Times New Roman" w:hAnsi="Times New Roman" w:cs="Times New Roman" w:eastAsiaTheme="minorEastAsia"/>
                <w:sz w:val="24"/>
                <w:szCs w:val="28"/>
                <w:highlight w:val="none"/>
              </w:rPr>
            </w:pPr>
          </w:p>
        </w:tc>
        <w:tc>
          <w:tcPr>
            <w:tcW w:w="2265" w:type="dxa"/>
            <w:vAlign w:val="center"/>
          </w:tcPr>
          <w:p w14:paraId="235056E4">
            <w:pPr>
              <w:widowControl/>
              <w:shd w:val="clear" w:color="auto" w:fill="FFFFFF"/>
              <w:spacing w:line="360" w:lineRule="auto"/>
              <w:jc w:val="center"/>
              <w:rPr>
                <w:rFonts w:ascii="Times New Roman" w:hAnsi="Times New Roman" w:cs="Times New Roman" w:eastAsiaTheme="minorEastAsia"/>
                <w:sz w:val="24"/>
                <w:szCs w:val="28"/>
                <w:highlight w:val="none"/>
              </w:rPr>
            </w:pPr>
            <w:r>
              <w:rPr>
                <w:rFonts w:hint="eastAsia" w:ascii="Times New Roman" w:hAnsi="Times New Roman" w:eastAsia="仿宋" w:cs="仿宋"/>
                <w:bCs/>
                <w:color w:val="auto"/>
                <w:kern w:val="15"/>
                <w:sz w:val="24"/>
                <w:szCs w:val="24"/>
                <w:highlight w:val="none"/>
                <w:lang w:val="en-US" w:eastAsia="zh-CN"/>
              </w:rPr>
              <w:t>中科院四区（大类）期刊论文加5分</w:t>
            </w:r>
          </w:p>
        </w:tc>
        <w:tc>
          <w:tcPr>
            <w:tcW w:w="2879" w:type="dxa"/>
            <w:vMerge w:val="continue"/>
          </w:tcPr>
          <w:p w14:paraId="1ABCEA2A">
            <w:pPr>
              <w:widowControl/>
              <w:shd w:val="clear" w:color="auto" w:fill="FFFFFF"/>
              <w:ind w:firstLine="480" w:firstLineChars="200"/>
              <w:rPr>
                <w:rFonts w:ascii="Times New Roman" w:hAnsi="Times New Roman" w:cs="Times New Roman" w:eastAsiaTheme="minorEastAsia"/>
                <w:sz w:val="24"/>
                <w:szCs w:val="28"/>
                <w:highlight w:val="none"/>
              </w:rPr>
            </w:pPr>
          </w:p>
        </w:tc>
        <w:tc>
          <w:tcPr>
            <w:tcW w:w="3119" w:type="dxa"/>
            <w:vMerge w:val="continue"/>
          </w:tcPr>
          <w:p w14:paraId="2DB50948">
            <w:pPr>
              <w:widowControl/>
              <w:shd w:val="clear" w:color="auto" w:fill="FFFFFF"/>
              <w:ind w:firstLine="480" w:firstLineChars="200"/>
              <w:rPr>
                <w:rFonts w:ascii="Times New Roman" w:hAnsi="Times New Roman" w:cs="Times New Roman" w:eastAsiaTheme="minorEastAsia"/>
                <w:sz w:val="24"/>
                <w:szCs w:val="28"/>
                <w:highlight w:val="none"/>
              </w:rPr>
            </w:pPr>
          </w:p>
        </w:tc>
      </w:tr>
      <w:tr w14:paraId="6059EA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551" w:hRule="atLeast"/>
        </w:trPr>
        <w:tc>
          <w:tcPr>
            <w:tcW w:w="1343" w:type="dxa"/>
            <w:vAlign w:val="center"/>
          </w:tcPr>
          <w:p w14:paraId="56D2BA15">
            <w:pPr>
              <w:widowControl/>
              <w:shd w:val="clear" w:color="auto" w:fill="FFFFFF"/>
              <w:spacing w:line="360" w:lineRule="auto"/>
              <w:jc w:val="center"/>
              <w:rPr>
                <w:rFonts w:hint="eastAsia" w:ascii="Times New Roman" w:hAnsi="Times New Roman" w:eastAsia="黑体" w:cs="Times New Roman"/>
                <w:bCs/>
                <w:kern w:val="15"/>
                <w:sz w:val="24"/>
                <w:szCs w:val="24"/>
                <w:highlight w:val="none"/>
                <w:lang w:val="en-US" w:eastAsia="zh-CN"/>
              </w:rPr>
            </w:pPr>
            <w:r>
              <w:rPr>
                <w:rFonts w:hint="eastAsia" w:ascii="Times New Roman" w:hAnsi="Times New Roman" w:eastAsia="黑体" w:cs="Times New Roman"/>
                <w:bCs/>
                <w:kern w:val="15"/>
                <w:sz w:val="24"/>
                <w:szCs w:val="24"/>
                <w:highlight w:val="none"/>
                <w:lang w:val="en-US" w:eastAsia="zh-CN"/>
              </w:rPr>
              <w:t>EI收录论文</w:t>
            </w:r>
          </w:p>
        </w:tc>
        <w:tc>
          <w:tcPr>
            <w:tcW w:w="2265" w:type="dxa"/>
            <w:vAlign w:val="center"/>
          </w:tcPr>
          <w:p w14:paraId="3D54D776">
            <w:pPr>
              <w:widowControl/>
              <w:shd w:val="clear" w:color="auto" w:fill="FFFFFF"/>
              <w:spacing w:line="360" w:lineRule="auto"/>
              <w:jc w:val="center"/>
              <w:rPr>
                <w:rFonts w:hint="eastAsia" w:ascii="Times New Roman" w:hAnsi="Times New Roman" w:cs="Times New Roman" w:eastAsiaTheme="minorEastAsia"/>
                <w:sz w:val="24"/>
                <w:szCs w:val="28"/>
                <w:highlight w:val="none"/>
                <w:lang w:eastAsia="zh-CN"/>
              </w:rPr>
            </w:pPr>
            <w:r>
              <w:rPr>
                <w:rFonts w:hint="eastAsia" w:ascii="Times New Roman" w:hAnsi="Times New Roman" w:cs="Times New Roman" w:eastAsiaTheme="minorEastAsia"/>
                <w:sz w:val="24"/>
                <w:szCs w:val="28"/>
                <w:highlight w:val="none"/>
                <w:lang w:val="en-US" w:eastAsia="zh-CN"/>
              </w:rPr>
              <w:t>5</w:t>
            </w:r>
          </w:p>
        </w:tc>
        <w:tc>
          <w:tcPr>
            <w:tcW w:w="2879" w:type="dxa"/>
            <w:vMerge w:val="continue"/>
          </w:tcPr>
          <w:p w14:paraId="49E84548">
            <w:pPr>
              <w:widowControl/>
              <w:shd w:val="clear" w:color="auto" w:fill="FFFFFF"/>
              <w:ind w:firstLine="480" w:firstLineChars="200"/>
              <w:rPr>
                <w:rFonts w:ascii="Times New Roman" w:hAnsi="Times New Roman" w:cs="Times New Roman" w:eastAsiaTheme="minorEastAsia"/>
                <w:sz w:val="24"/>
                <w:szCs w:val="28"/>
                <w:highlight w:val="none"/>
              </w:rPr>
            </w:pPr>
          </w:p>
        </w:tc>
        <w:tc>
          <w:tcPr>
            <w:tcW w:w="3119" w:type="dxa"/>
            <w:vMerge w:val="continue"/>
          </w:tcPr>
          <w:p w14:paraId="1E1DF3FF">
            <w:pPr>
              <w:widowControl/>
              <w:shd w:val="clear" w:color="auto" w:fill="FFFFFF"/>
              <w:ind w:firstLine="480" w:firstLineChars="200"/>
              <w:rPr>
                <w:rFonts w:ascii="Times New Roman" w:hAnsi="Times New Roman" w:cs="Times New Roman" w:eastAsiaTheme="minorEastAsia"/>
                <w:sz w:val="24"/>
                <w:szCs w:val="28"/>
                <w:highlight w:val="none"/>
              </w:rPr>
            </w:pPr>
          </w:p>
        </w:tc>
      </w:tr>
    </w:tbl>
    <w:p w14:paraId="22BA3910">
      <w:pPr>
        <w:widowControl/>
        <w:shd w:val="clear" w:color="auto" w:fill="FFFFFF"/>
        <w:ind w:firstLine="640" w:firstLineChars="200"/>
        <w:outlineLvl w:val="3"/>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（2）获批专利</w:t>
      </w:r>
    </w:p>
    <w:tbl>
      <w:tblPr>
        <w:tblStyle w:val="10"/>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481"/>
        <w:gridCol w:w="2481"/>
        <w:gridCol w:w="1598"/>
        <w:gridCol w:w="3011"/>
      </w:tblGrid>
      <w:tr w14:paraId="6446B1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exact"/>
          <w:jc w:val="center"/>
        </w:trPr>
        <w:tc>
          <w:tcPr>
            <w:tcW w:w="1296" w:type="pct"/>
          </w:tcPr>
          <w:p w14:paraId="1659823F">
            <w:pPr>
              <w:pStyle w:val="5"/>
              <w:spacing w:line="360" w:lineRule="auto"/>
              <w:ind w:firstLine="482"/>
              <w:outlineLvl w:val="0"/>
              <w:rPr>
                <w:rFonts w:ascii="Times New Roman" w:hAnsi="Times New Roman" w:eastAsia="黑体" w:cs="Times New Roman"/>
                <w:bCs/>
                <w:kern w:val="15"/>
                <w:sz w:val="24"/>
                <w:szCs w:val="24"/>
                <w:highlight w:val="none"/>
              </w:rPr>
            </w:pPr>
          </w:p>
        </w:tc>
        <w:tc>
          <w:tcPr>
            <w:tcW w:w="1296" w:type="pct"/>
            <w:vAlign w:val="center"/>
          </w:tcPr>
          <w:p w14:paraId="739792E0">
            <w:pPr>
              <w:pStyle w:val="5"/>
              <w:spacing w:line="360" w:lineRule="auto"/>
              <w:ind w:firstLine="482"/>
              <w:outlineLvl w:val="0"/>
              <w:rPr>
                <w:rFonts w:ascii="Times New Roman" w:hAnsi="Times New Roman" w:eastAsia="黑体" w:cs="Times New Roman"/>
                <w:bCs/>
                <w:kern w:val="15"/>
                <w:sz w:val="24"/>
                <w:szCs w:val="24"/>
                <w:highlight w:val="none"/>
              </w:rPr>
            </w:pPr>
            <w:r>
              <w:rPr>
                <w:rFonts w:ascii="Times New Roman" w:hAnsi="Times New Roman" w:eastAsia="黑体" w:cs="Times New Roman"/>
                <w:bCs/>
                <w:kern w:val="15"/>
                <w:sz w:val="24"/>
                <w:szCs w:val="24"/>
                <w:highlight w:val="none"/>
              </w:rPr>
              <w:t>作者排名顺序</w:t>
            </w:r>
          </w:p>
        </w:tc>
        <w:tc>
          <w:tcPr>
            <w:tcW w:w="835" w:type="pct"/>
            <w:vAlign w:val="center"/>
          </w:tcPr>
          <w:p w14:paraId="6EFDCDA7">
            <w:pPr>
              <w:pStyle w:val="5"/>
              <w:spacing w:line="360" w:lineRule="auto"/>
              <w:ind w:firstLine="482"/>
              <w:outlineLvl w:val="0"/>
              <w:rPr>
                <w:rFonts w:ascii="Times New Roman" w:hAnsi="Times New Roman" w:eastAsia="黑体" w:cs="Times New Roman"/>
                <w:bCs/>
                <w:kern w:val="15"/>
                <w:sz w:val="24"/>
                <w:szCs w:val="24"/>
                <w:highlight w:val="none"/>
              </w:rPr>
            </w:pPr>
            <w:r>
              <w:rPr>
                <w:rFonts w:ascii="Times New Roman" w:hAnsi="Times New Roman" w:eastAsia="黑体" w:cs="Times New Roman"/>
                <w:bCs/>
                <w:kern w:val="15"/>
                <w:sz w:val="24"/>
                <w:szCs w:val="24"/>
                <w:highlight w:val="none"/>
              </w:rPr>
              <w:t>计分标准</w:t>
            </w:r>
          </w:p>
        </w:tc>
        <w:tc>
          <w:tcPr>
            <w:tcW w:w="1573" w:type="pct"/>
            <w:vAlign w:val="center"/>
          </w:tcPr>
          <w:p w14:paraId="7B57B3D4">
            <w:pPr>
              <w:pStyle w:val="5"/>
              <w:spacing w:line="360" w:lineRule="auto"/>
              <w:ind w:firstLine="482"/>
              <w:outlineLvl w:val="0"/>
              <w:rPr>
                <w:rFonts w:ascii="Times New Roman" w:hAnsi="Times New Roman" w:eastAsia="黑体" w:cs="Times New Roman"/>
                <w:bCs/>
                <w:kern w:val="15"/>
                <w:sz w:val="24"/>
                <w:szCs w:val="24"/>
                <w:highlight w:val="none"/>
              </w:rPr>
            </w:pPr>
            <w:r>
              <w:rPr>
                <w:rFonts w:ascii="Times New Roman" w:hAnsi="Times New Roman" w:eastAsia="黑体" w:cs="Times New Roman"/>
                <w:bCs/>
                <w:kern w:val="15"/>
                <w:sz w:val="24"/>
                <w:szCs w:val="24"/>
                <w:highlight w:val="none"/>
              </w:rPr>
              <w:t>计分说明</w:t>
            </w:r>
          </w:p>
        </w:tc>
      </w:tr>
      <w:tr w14:paraId="0D597E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exact"/>
          <w:jc w:val="center"/>
        </w:trPr>
        <w:tc>
          <w:tcPr>
            <w:tcW w:w="1296" w:type="pct"/>
            <w:vMerge w:val="restart"/>
            <w:vAlign w:val="center"/>
          </w:tcPr>
          <w:p w14:paraId="5B251CDE">
            <w:pPr>
              <w:pStyle w:val="5"/>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outlineLvl w:val="0"/>
              <w:rPr>
                <w:rFonts w:ascii="Times New Roman" w:hAnsi="Times New Roman" w:eastAsia="黑体" w:cs="Times New Roman"/>
                <w:bCs/>
                <w:kern w:val="15"/>
                <w:sz w:val="24"/>
                <w:szCs w:val="24"/>
                <w:highlight w:val="none"/>
              </w:rPr>
            </w:pPr>
            <w:r>
              <w:rPr>
                <w:rFonts w:ascii="Times New Roman" w:hAnsi="Times New Roman" w:eastAsia="黑体" w:cs="Times New Roman"/>
                <w:bCs/>
                <w:kern w:val="15"/>
                <w:sz w:val="24"/>
                <w:szCs w:val="24"/>
                <w:highlight w:val="none"/>
              </w:rPr>
              <w:t>发明专利</w:t>
            </w:r>
          </w:p>
        </w:tc>
        <w:tc>
          <w:tcPr>
            <w:tcW w:w="1296" w:type="pct"/>
            <w:vAlign w:val="center"/>
          </w:tcPr>
          <w:p w14:paraId="478E7D50">
            <w:pPr>
              <w:pStyle w:val="5"/>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outlineLvl w:val="0"/>
              <w:rPr>
                <w:rFonts w:ascii="Times New Roman" w:hAnsi="Times New Roman" w:eastAsia="黑体" w:cs="Times New Roman"/>
                <w:bCs/>
                <w:kern w:val="15"/>
                <w:sz w:val="24"/>
                <w:szCs w:val="24"/>
                <w:highlight w:val="none"/>
              </w:rPr>
            </w:pPr>
            <w:r>
              <w:rPr>
                <w:rFonts w:ascii="Times New Roman" w:hAnsi="Times New Roman" w:eastAsia="黑体" w:cs="Times New Roman"/>
                <w:bCs/>
                <w:kern w:val="15"/>
                <w:sz w:val="24"/>
                <w:szCs w:val="24"/>
                <w:highlight w:val="none"/>
              </w:rPr>
              <w:t>第一名</w:t>
            </w:r>
          </w:p>
        </w:tc>
        <w:tc>
          <w:tcPr>
            <w:tcW w:w="835" w:type="pct"/>
            <w:vAlign w:val="center"/>
          </w:tcPr>
          <w:p w14:paraId="1F4BA4BD">
            <w:pPr>
              <w:pStyle w:val="5"/>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outlineLvl w:val="0"/>
              <w:rPr>
                <w:rFonts w:ascii="Times New Roman" w:hAnsi="Times New Roman" w:eastAsia="黑体" w:cs="Times New Roman"/>
                <w:bCs/>
                <w:kern w:val="15"/>
                <w:sz w:val="24"/>
                <w:szCs w:val="24"/>
                <w:highlight w:val="none"/>
              </w:rPr>
            </w:pPr>
            <w:r>
              <w:rPr>
                <w:rFonts w:ascii="Times New Roman" w:hAnsi="Times New Roman" w:eastAsia="黑体" w:cs="Times New Roman"/>
                <w:bCs/>
                <w:kern w:val="15"/>
                <w:sz w:val="24"/>
                <w:szCs w:val="24"/>
                <w:highlight w:val="none"/>
              </w:rPr>
              <w:t>3</w:t>
            </w:r>
          </w:p>
        </w:tc>
        <w:tc>
          <w:tcPr>
            <w:tcW w:w="1573" w:type="pct"/>
            <w:vMerge w:val="restart"/>
            <w:vAlign w:val="center"/>
          </w:tcPr>
          <w:p w14:paraId="0C431F7B">
            <w:pPr>
              <w:pStyle w:val="5"/>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ascii="Times New Roman" w:hAnsi="Times New Roman" w:eastAsia="黑体" w:cs="Times New Roman"/>
                <w:bCs/>
                <w:kern w:val="15"/>
                <w:sz w:val="24"/>
                <w:szCs w:val="24"/>
                <w:highlight w:val="none"/>
              </w:rPr>
            </w:pPr>
            <w:r>
              <w:rPr>
                <w:rFonts w:ascii="Times New Roman" w:hAnsi="Times New Roman" w:eastAsia="黑体" w:cs="Times New Roman"/>
                <w:bCs/>
                <w:kern w:val="15"/>
                <w:sz w:val="24"/>
                <w:szCs w:val="24"/>
                <w:highlight w:val="none"/>
              </w:rPr>
              <w:t>获批专利权人须为西北农林科技大学的国家发明专利者和实用新型专利（除导师前三作者）</w:t>
            </w:r>
          </w:p>
        </w:tc>
      </w:tr>
      <w:tr w14:paraId="17EE80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exact"/>
          <w:jc w:val="center"/>
        </w:trPr>
        <w:tc>
          <w:tcPr>
            <w:tcW w:w="1296" w:type="pct"/>
            <w:vMerge w:val="continue"/>
            <w:vAlign w:val="center"/>
          </w:tcPr>
          <w:p w14:paraId="412AB693">
            <w:pPr>
              <w:pStyle w:val="5"/>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outlineLvl w:val="0"/>
              <w:rPr>
                <w:rFonts w:ascii="Times New Roman" w:hAnsi="Times New Roman" w:eastAsia="黑体" w:cs="Times New Roman"/>
                <w:bCs/>
                <w:kern w:val="15"/>
                <w:sz w:val="24"/>
                <w:szCs w:val="24"/>
                <w:highlight w:val="none"/>
              </w:rPr>
            </w:pPr>
          </w:p>
        </w:tc>
        <w:tc>
          <w:tcPr>
            <w:tcW w:w="1296" w:type="pct"/>
            <w:vAlign w:val="center"/>
          </w:tcPr>
          <w:p w14:paraId="706F74A5">
            <w:pPr>
              <w:pStyle w:val="5"/>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outlineLvl w:val="0"/>
              <w:rPr>
                <w:rFonts w:ascii="Times New Roman" w:hAnsi="Times New Roman" w:eastAsia="黑体" w:cs="Times New Roman"/>
                <w:bCs/>
                <w:kern w:val="15"/>
                <w:sz w:val="24"/>
                <w:szCs w:val="24"/>
                <w:highlight w:val="none"/>
              </w:rPr>
            </w:pPr>
            <w:r>
              <w:rPr>
                <w:rFonts w:ascii="Times New Roman" w:hAnsi="Times New Roman" w:eastAsia="黑体" w:cs="Times New Roman"/>
                <w:bCs/>
                <w:kern w:val="15"/>
                <w:sz w:val="24"/>
                <w:szCs w:val="24"/>
                <w:highlight w:val="none"/>
              </w:rPr>
              <w:t>第二名</w:t>
            </w:r>
          </w:p>
        </w:tc>
        <w:tc>
          <w:tcPr>
            <w:tcW w:w="835" w:type="pct"/>
            <w:vAlign w:val="center"/>
          </w:tcPr>
          <w:p w14:paraId="3DC46360">
            <w:pPr>
              <w:pStyle w:val="5"/>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outlineLvl w:val="0"/>
              <w:rPr>
                <w:rFonts w:ascii="Times New Roman" w:hAnsi="Times New Roman" w:eastAsia="黑体" w:cs="Times New Roman"/>
                <w:bCs/>
                <w:kern w:val="15"/>
                <w:sz w:val="24"/>
                <w:szCs w:val="24"/>
                <w:highlight w:val="none"/>
              </w:rPr>
            </w:pPr>
            <w:r>
              <w:rPr>
                <w:rFonts w:ascii="Times New Roman" w:hAnsi="Times New Roman" w:eastAsia="黑体" w:cs="Times New Roman"/>
                <w:bCs/>
                <w:kern w:val="15"/>
                <w:sz w:val="24"/>
                <w:szCs w:val="24"/>
                <w:highlight w:val="none"/>
              </w:rPr>
              <w:t>2</w:t>
            </w:r>
          </w:p>
        </w:tc>
        <w:tc>
          <w:tcPr>
            <w:tcW w:w="1573" w:type="pct"/>
            <w:vMerge w:val="continue"/>
          </w:tcPr>
          <w:p w14:paraId="1C1C68E4">
            <w:pPr>
              <w:pStyle w:val="5"/>
              <w:spacing w:line="360" w:lineRule="auto"/>
              <w:ind w:firstLine="482"/>
              <w:outlineLvl w:val="0"/>
              <w:rPr>
                <w:rFonts w:ascii="Times New Roman" w:hAnsi="Times New Roman" w:eastAsia="黑体" w:cs="Times New Roman"/>
                <w:bCs/>
                <w:kern w:val="15"/>
                <w:sz w:val="24"/>
                <w:szCs w:val="24"/>
                <w:highlight w:val="none"/>
              </w:rPr>
            </w:pPr>
          </w:p>
        </w:tc>
      </w:tr>
      <w:tr w14:paraId="471D66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exact"/>
          <w:jc w:val="center"/>
        </w:trPr>
        <w:tc>
          <w:tcPr>
            <w:tcW w:w="1296" w:type="pct"/>
            <w:vMerge w:val="continue"/>
            <w:vAlign w:val="center"/>
          </w:tcPr>
          <w:p w14:paraId="22C17DC8">
            <w:pPr>
              <w:pStyle w:val="5"/>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outlineLvl w:val="0"/>
              <w:rPr>
                <w:rFonts w:ascii="Times New Roman" w:hAnsi="Times New Roman" w:eastAsia="黑体" w:cs="Times New Roman"/>
                <w:bCs/>
                <w:kern w:val="15"/>
                <w:sz w:val="24"/>
                <w:szCs w:val="24"/>
                <w:highlight w:val="none"/>
              </w:rPr>
            </w:pPr>
          </w:p>
        </w:tc>
        <w:tc>
          <w:tcPr>
            <w:tcW w:w="1296" w:type="pct"/>
            <w:vAlign w:val="center"/>
          </w:tcPr>
          <w:p w14:paraId="25676028">
            <w:pPr>
              <w:pStyle w:val="5"/>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outlineLvl w:val="0"/>
              <w:rPr>
                <w:rFonts w:ascii="Times New Roman" w:hAnsi="Times New Roman" w:eastAsia="黑体" w:cs="Times New Roman"/>
                <w:bCs/>
                <w:kern w:val="15"/>
                <w:sz w:val="24"/>
                <w:szCs w:val="24"/>
                <w:highlight w:val="none"/>
              </w:rPr>
            </w:pPr>
            <w:r>
              <w:rPr>
                <w:rFonts w:ascii="Times New Roman" w:hAnsi="Times New Roman" w:eastAsia="黑体" w:cs="Times New Roman"/>
                <w:bCs/>
                <w:kern w:val="15"/>
                <w:sz w:val="24"/>
                <w:szCs w:val="24"/>
                <w:highlight w:val="none"/>
              </w:rPr>
              <w:t>第三名</w:t>
            </w:r>
          </w:p>
        </w:tc>
        <w:tc>
          <w:tcPr>
            <w:tcW w:w="835" w:type="pct"/>
            <w:vAlign w:val="center"/>
          </w:tcPr>
          <w:p w14:paraId="17010294">
            <w:pPr>
              <w:pStyle w:val="5"/>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outlineLvl w:val="0"/>
              <w:rPr>
                <w:rFonts w:ascii="Times New Roman" w:hAnsi="Times New Roman" w:eastAsia="黑体" w:cs="Times New Roman"/>
                <w:bCs/>
                <w:kern w:val="15"/>
                <w:sz w:val="24"/>
                <w:szCs w:val="24"/>
                <w:highlight w:val="none"/>
              </w:rPr>
            </w:pPr>
            <w:r>
              <w:rPr>
                <w:rFonts w:ascii="Times New Roman" w:hAnsi="Times New Roman" w:eastAsia="黑体" w:cs="Times New Roman"/>
                <w:bCs/>
                <w:kern w:val="15"/>
                <w:sz w:val="24"/>
                <w:szCs w:val="24"/>
                <w:highlight w:val="none"/>
              </w:rPr>
              <w:t>1</w:t>
            </w:r>
          </w:p>
        </w:tc>
        <w:tc>
          <w:tcPr>
            <w:tcW w:w="1573" w:type="pct"/>
            <w:vMerge w:val="continue"/>
          </w:tcPr>
          <w:p w14:paraId="437E03FD">
            <w:pPr>
              <w:pStyle w:val="5"/>
              <w:spacing w:line="360" w:lineRule="auto"/>
              <w:ind w:firstLine="482"/>
              <w:outlineLvl w:val="0"/>
              <w:rPr>
                <w:rFonts w:ascii="Times New Roman" w:hAnsi="Times New Roman" w:eastAsia="黑体" w:cs="Times New Roman"/>
                <w:bCs/>
                <w:kern w:val="15"/>
                <w:sz w:val="24"/>
                <w:szCs w:val="24"/>
                <w:highlight w:val="none"/>
              </w:rPr>
            </w:pPr>
          </w:p>
        </w:tc>
      </w:tr>
      <w:tr w14:paraId="1A3873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exact"/>
          <w:jc w:val="center"/>
        </w:trPr>
        <w:tc>
          <w:tcPr>
            <w:tcW w:w="1296" w:type="pct"/>
            <w:vMerge w:val="restart"/>
            <w:vAlign w:val="center"/>
          </w:tcPr>
          <w:p w14:paraId="565F53FE">
            <w:pPr>
              <w:pStyle w:val="5"/>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outlineLvl w:val="0"/>
              <w:rPr>
                <w:rFonts w:ascii="Times New Roman" w:hAnsi="Times New Roman" w:eastAsia="黑体" w:cs="Times New Roman"/>
                <w:bCs/>
                <w:kern w:val="15"/>
                <w:sz w:val="24"/>
                <w:szCs w:val="24"/>
                <w:highlight w:val="none"/>
              </w:rPr>
            </w:pPr>
            <w:r>
              <w:rPr>
                <w:rFonts w:ascii="Times New Roman" w:hAnsi="Times New Roman" w:eastAsia="黑体" w:cs="Times New Roman"/>
                <w:bCs/>
                <w:kern w:val="15"/>
                <w:sz w:val="24"/>
                <w:szCs w:val="24"/>
                <w:highlight w:val="none"/>
              </w:rPr>
              <w:t>实用新型专利</w:t>
            </w:r>
          </w:p>
        </w:tc>
        <w:tc>
          <w:tcPr>
            <w:tcW w:w="1296" w:type="pct"/>
            <w:vAlign w:val="center"/>
          </w:tcPr>
          <w:p w14:paraId="2F13F5F1">
            <w:pPr>
              <w:pStyle w:val="5"/>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outlineLvl w:val="0"/>
              <w:rPr>
                <w:rFonts w:ascii="Times New Roman" w:hAnsi="Times New Roman" w:eastAsia="黑体" w:cs="Times New Roman"/>
                <w:bCs/>
                <w:kern w:val="15"/>
                <w:sz w:val="24"/>
                <w:szCs w:val="24"/>
                <w:highlight w:val="none"/>
              </w:rPr>
            </w:pPr>
            <w:r>
              <w:rPr>
                <w:rFonts w:ascii="Times New Roman" w:hAnsi="Times New Roman" w:eastAsia="黑体" w:cs="Times New Roman"/>
                <w:bCs/>
                <w:kern w:val="15"/>
                <w:sz w:val="24"/>
                <w:szCs w:val="24"/>
                <w:highlight w:val="none"/>
              </w:rPr>
              <w:t>第一名</w:t>
            </w:r>
          </w:p>
        </w:tc>
        <w:tc>
          <w:tcPr>
            <w:tcW w:w="835" w:type="pct"/>
            <w:vAlign w:val="center"/>
          </w:tcPr>
          <w:p w14:paraId="4ABD477B">
            <w:pPr>
              <w:pStyle w:val="5"/>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outlineLvl w:val="0"/>
              <w:rPr>
                <w:rFonts w:ascii="Times New Roman" w:hAnsi="Times New Roman" w:eastAsia="黑体" w:cs="Times New Roman"/>
                <w:bCs/>
                <w:kern w:val="15"/>
                <w:sz w:val="24"/>
                <w:szCs w:val="24"/>
                <w:highlight w:val="none"/>
              </w:rPr>
            </w:pPr>
            <w:r>
              <w:rPr>
                <w:rFonts w:ascii="Times New Roman" w:hAnsi="Times New Roman" w:eastAsia="黑体" w:cs="Times New Roman"/>
                <w:bCs/>
                <w:kern w:val="15"/>
                <w:sz w:val="24"/>
                <w:szCs w:val="24"/>
                <w:highlight w:val="none"/>
              </w:rPr>
              <w:t>1.5</w:t>
            </w:r>
          </w:p>
        </w:tc>
        <w:tc>
          <w:tcPr>
            <w:tcW w:w="1573" w:type="pct"/>
            <w:vMerge w:val="continue"/>
          </w:tcPr>
          <w:p w14:paraId="11F5A80E">
            <w:pPr>
              <w:pStyle w:val="5"/>
              <w:spacing w:line="360" w:lineRule="auto"/>
              <w:ind w:firstLine="482"/>
              <w:outlineLvl w:val="0"/>
              <w:rPr>
                <w:rFonts w:ascii="Times New Roman" w:hAnsi="Times New Roman" w:eastAsia="黑体" w:cs="Times New Roman"/>
                <w:bCs/>
                <w:kern w:val="15"/>
                <w:sz w:val="24"/>
                <w:szCs w:val="24"/>
                <w:highlight w:val="none"/>
              </w:rPr>
            </w:pPr>
          </w:p>
        </w:tc>
      </w:tr>
      <w:tr w14:paraId="1560FE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exact"/>
          <w:jc w:val="center"/>
        </w:trPr>
        <w:tc>
          <w:tcPr>
            <w:tcW w:w="1296" w:type="pct"/>
            <w:vMerge w:val="continue"/>
          </w:tcPr>
          <w:p w14:paraId="144ACD12">
            <w:pPr>
              <w:pStyle w:val="5"/>
              <w:spacing w:line="360" w:lineRule="auto"/>
              <w:ind w:firstLine="482"/>
              <w:outlineLvl w:val="0"/>
              <w:rPr>
                <w:rFonts w:ascii="Times New Roman" w:hAnsi="Times New Roman" w:eastAsia="黑体" w:cs="Times New Roman"/>
                <w:bCs/>
                <w:kern w:val="15"/>
                <w:sz w:val="24"/>
                <w:szCs w:val="24"/>
                <w:highlight w:val="none"/>
              </w:rPr>
            </w:pPr>
          </w:p>
        </w:tc>
        <w:tc>
          <w:tcPr>
            <w:tcW w:w="1296" w:type="pct"/>
            <w:vAlign w:val="center"/>
          </w:tcPr>
          <w:p w14:paraId="0FD4437D">
            <w:pPr>
              <w:pStyle w:val="5"/>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outlineLvl w:val="0"/>
              <w:rPr>
                <w:rFonts w:ascii="Times New Roman" w:hAnsi="Times New Roman" w:eastAsia="黑体" w:cs="Times New Roman"/>
                <w:bCs/>
                <w:kern w:val="15"/>
                <w:sz w:val="24"/>
                <w:szCs w:val="24"/>
                <w:highlight w:val="none"/>
              </w:rPr>
            </w:pPr>
            <w:r>
              <w:rPr>
                <w:rFonts w:ascii="Times New Roman" w:hAnsi="Times New Roman" w:eastAsia="黑体" w:cs="Times New Roman"/>
                <w:bCs/>
                <w:kern w:val="15"/>
                <w:sz w:val="24"/>
                <w:szCs w:val="24"/>
                <w:highlight w:val="none"/>
              </w:rPr>
              <w:t>第二名</w:t>
            </w:r>
          </w:p>
        </w:tc>
        <w:tc>
          <w:tcPr>
            <w:tcW w:w="835" w:type="pct"/>
            <w:vAlign w:val="center"/>
          </w:tcPr>
          <w:p w14:paraId="05580A11">
            <w:pPr>
              <w:pStyle w:val="5"/>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outlineLvl w:val="0"/>
              <w:rPr>
                <w:rFonts w:ascii="Times New Roman" w:hAnsi="Times New Roman" w:eastAsia="黑体" w:cs="Times New Roman"/>
                <w:bCs/>
                <w:kern w:val="15"/>
                <w:sz w:val="24"/>
                <w:szCs w:val="24"/>
                <w:highlight w:val="none"/>
              </w:rPr>
            </w:pPr>
            <w:r>
              <w:rPr>
                <w:rFonts w:ascii="Times New Roman" w:hAnsi="Times New Roman" w:eastAsia="黑体" w:cs="Times New Roman"/>
                <w:bCs/>
                <w:kern w:val="15"/>
                <w:sz w:val="24"/>
                <w:szCs w:val="24"/>
                <w:highlight w:val="none"/>
              </w:rPr>
              <w:t>1</w:t>
            </w:r>
          </w:p>
        </w:tc>
        <w:tc>
          <w:tcPr>
            <w:tcW w:w="1573" w:type="pct"/>
            <w:vMerge w:val="continue"/>
          </w:tcPr>
          <w:p w14:paraId="6F760B38">
            <w:pPr>
              <w:pStyle w:val="5"/>
              <w:spacing w:line="360" w:lineRule="auto"/>
              <w:ind w:firstLine="482"/>
              <w:outlineLvl w:val="0"/>
              <w:rPr>
                <w:rFonts w:ascii="Times New Roman" w:hAnsi="Times New Roman" w:eastAsia="黑体" w:cs="Times New Roman"/>
                <w:bCs/>
                <w:kern w:val="15"/>
                <w:sz w:val="24"/>
                <w:szCs w:val="24"/>
                <w:highlight w:val="none"/>
              </w:rPr>
            </w:pPr>
          </w:p>
        </w:tc>
      </w:tr>
      <w:tr w14:paraId="299451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exact"/>
          <w:jc w:val="center"/>
        </w:trPr>
        <w:tc>
          <w:tcPr>
            <w:tcW w:w="1296" w:type="pct"/>
            <w:vMerge w:val="continue"/>
          </w:tcPr>
          <w:p w14:paraId="4A38B52F">
            <w:pPr>
              <w:pStyle w:val="5"/>
              <w:spacing w:line="360" w:lineRule="auto"/>
              <w:ind w:firstLine="482"/>
              <w:outlineLvl w:val="0"/>
              <w:rPr>
                <w:rFonts w:ascii="Times New Roman" w:hAnsi="Times New Roman" w:eastAsia="黑体" w:cs="Times New Roman"/>
                <w:bCs/>
                <w:kern w:val="15"/>
                <w:sz w:val="24"/>
                <w:szCs w:val="24"/>
                <w:highlight w:val="none"/>
              </w:rPr>
            </w:pPr>
          </w:p>
        </w:tc>
        <w:tc>
          <w:tcPr>
            <w:tcW w:w="1296" w:type="pct"/>
            <w:vAlign w:val="center"/>
          </w:tcPr>
          <w:p w14:paraId="780AD023">
            <w:pPr>
              <w:pStyle w:val="5"/>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outlineLvl w:val="0"/>
              <w:rPr>
                <w:rFonts w:ascii="Times New Roman" w:hAnsi="Times New Roman" w:eastAsia="黑体" w:cs="Times New Roman"/>
                <w:bCs/>
                <w:kern w:val="15"/>
                <w:sz w:val="24"/>
                <w:szCs w:val="24"/>
                <w:highlight w:val="none"/>
              </w:rPr>
            </w:pPr>
            <w:r>
              <w:rPr>
                <w:rFonts w:ascii="Times New Roman" w:hAnsi="Times New Roman" w:eastAsia="黑体" w:cs="Times New Roman"/>
                <w:bCs/>
                <w:kern w:val="15"/>
                <w:sz w:val="24"/>
                <w:szCs w:val="24"/>
                <w:highlight w:val="none"/>
              </w:rPr>
              <w:t>第三名</w:t>
            </w:r>
          </w:p>
        </w:tc>
        <w:tc>
          <w:tcPr>
            <w:tcW w:w="835" w:type="pct"/>
            <w:vAlign w:val="center"/>
          </w:tcPr>
          <w:p w14:paraId="454A2042">
            <w:pPr>
              <w:pStyle w:val="5"/>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outlineLvl w:val="0"/>
              <w:rPr>
                <w:rFonts w:ascii="Times New Roman" w:hAnsi="Times New Roman" w:eastAsia="黑体" w:cs="Times New Roman"/>
                <w:bCs/>
                <w:kern w:val="15"/>
                <w:sz w:val="24"/>
                <w:szCs w:val="24"/>
                <w:highlight w:val="none"/>
              </w:rPr>
            </w:pPr>
            <w:r>
              <w:rPr>
                <w:rFonts w:ascii="Times New Roman" w:hAnsi="Times New Roman" w:eastAsia="黑体" w:cs="Times New Roman"/>
                <w:bCs/>
                <w:kern w:val="15"/>
                <w:sz w:val="24"/>
                <w:szCs w:val="24"/>
                <w:highlight w:val="none"/>
              </w:rPr>
              <w:t>0.5</w:t>
            </w:r>
          </w:p>
        </w:tc>
        <w:tc>
          <w:tcPr>
            <w:tcW w:w="1573" w:type="pct"/>
            <w:vMerge w:val="continue"/>
          </w:tcPr>
          <w:p w14:paraId="4706C629">
            <w:pPr>
              <w:pStyle w:val="5"/>
              <w:spacing w:line="360" w:lineRule="auto"/>
              <w:ind w:firstLine="482"/>
              <w:outlineLvl w:val="0"/>
              <w:rPr>
                <w:rFonts w:ascii="Times New Roman" w:hAnsi="Times New Roman" w:eastAsia="黑体" w:cs="Times New Roman"/>
                <w:bCs/>
                <w:kern w:val="15"/>
                <w:sz w:val="24"/>
                <w:szCs w:val="24"/>
                <w:highlight w:val="none"/>
              </w:rPr>
            </w:pPr>
          </w:p>
        </w:tc>
      </w:tr>
    </w:tbl>
    <w:p w14:paraId="23CB0D92">
      <w:pPr>
        <w:widowControl/>
        <w:shd w:val="clear" w:color="auto" w:fill="FFFFFF"/>
        <w:ind w:firstLine="600" w:firstLineChars="200"/>
        <w:outlineLvl w:val="3"/>
        <w:rPr>
          <w:rFonts w:ascii="Times New Roman" w:hAnsi="Times New Roman" w:eastAsia="仿宋_GB2312" w:cs="Times New Roman"/>
          <w:sz w:val="30"/>
          <w:szCs w:val="30"/>
          <w:highlight w:val="none"/>
        </w:rPr>
      </w:pPr>
    </w:p>
    <w:p w14:paraId="59DD22CC">
      <w:pPr>
        <w:widowControl/>
        <w:shd w:val="clear" w:color="auto" w:fill="FFFFFF"/>
        <w:ind w:firstLine="600" w:firstLineChars="200"/>
        <w:outlineLvl w:val="3"/>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（3）</w:t>
      </w:r>
      <w:r>
        <w:rPr>
          <w:rFonts w:ascii="Times New Roman" w:hAnsi="Times New Roman" w:cs="Times New Roman"/>
          <w:sz w:val="30"/>
          <w:szCs w:val="30"/>
          <w:highlight w:val="none"/>
        </w:rPr>
        <w:t>获奖情况</w:t>
      </w:r>
    </w:p>
    <w:tbl>
      <w:tblPr>
        <w:tblStyle w:val="11"/>
        <w:tblW w:w="880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17"/>
        <w:gridCol w:w="1618"/>
        <w:gridCol w:w="1843"/>
        <w:gridCol w:w="1642"/>
        <w:gridCol w:w="1985"/>
      </w:tblGrid>
      <w:tr w14:paraId="023188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717" w:type="dxa"/>
          </w:tcPr>
          <w:p w14:paraId="65703656">
            <w:pPr>
              <w:widowControl/>
              <w:tabs>
                <w:tab w:val="left" w:pos="0"/>
              </w:tabs>
              <w:jc w:val="center"/>
              <w:rPr>
                <w:rFonts w:ascii="Times New Roman" w:hAnsi="Times New Roman" w:eastAsia="黑体" w:cs="Times New Roman"/>
                <w:sz w:val="28"/>
                <w:highlight w:val="none"/>
              </w:rPr>
            </w:pPr>
            <w:r>
              <w:rPr>
                <w:rFonts w:ascii="Times New Roman" w:hAnsi="Times New Roman" w:eastAsia="黑体" w:cs="Times New Roman"/>
                <w:sz w:val="28"/>
                <w:highlight w:val="none"/>
              </w:rPr>
              <w:t>成果级别</w:t>
            </w:r>
          </w:p>
        </w:tc>
        <w:tc>
          <w:tcPr>
            <w:tcW w:w="1618" w:type="dxa"/>
          </w:tcPr>
          <w:p w14:paraId="78D01CB2">
            <w:pPr>
              <w:widowControl/>
              <w:tabs>
                <w:tab w:val="left" w:pos="0"/>
              </w:tabs>
              <w:jc w:val="center"/>
              <w:rPr>
                <w:rFonts w:ascii="Times New Roman" w:hAnsi="Times New Roman" w:eastAsia="黑体" w:cs="Times New Roman"/>
                <w:sz w:val="28"/>
                <w:highlight w:val="none"/>
              </w:rPr>
            </w:pPr>
            <w:r>
              <w:rPr>
                <w:rFonts w:ascii="Times New Roman" w:hAnsi="Times New Roman" w:eastAsia="黑体" w:cs="Times New Roman"/>
                <w:sz w:val="28"/>
                <w:highlight w:val="none"/>
              </w:rPr>
              <w:t>获奖等级</w:t>
            </w:r>
          </w:p>
        </w:tc>
        <w:tc>
          <w:tcPr>
            <w:tcW w:w="1843" w:type="dxa"/>
          </w:tcPr>
          <w:p w14:paraId="239A06AC">
            <w:pPr>
              <w:widowControl/>
              <w:tabs>
                <w:tab w:val="left" w:pos="0"/>
              </w:tabs>
              <w:jc w:val="center"/>
              <w:rPr>
                <w:rFonts w:ascii="Times New Roman" w:hAnsi="Times New Roman" w:eastAsia="黑体" w:cs="Times New Roman"/>
                <w:sz w:val="28"/>
                <w:highlight w:val="none"/>
              </w:rPr>
            </w:pPr>
            <w:r>
              <w:rPr>
                <w:rFonts w:ascii="Times New Roman" w:hAnsi="Times New Roman" w:eastAsia="黑体" w:cs="Times New Roman"/>
                <w:sz w:val="28"/>
                <w:highlight w:val="none"/>
              </w:rPr>
              <w:t>作者排名顺序</w:t>
            </w:r>
          </w:p>
        </w:tc>
        <w:tc>
          <w:tcPr>
            <w:tcW w:w="1642" w:type="dxa"/>
          </w:tcPr>
          <w:p w14:paraId="5B9C2E78">
            <w:pPr>
              <w:widowControl/>
              <w:tabs>
                <w:tab w:val="left" w:pos="0"/>
              </w:tabs>
              <w:jc w:val="center"/>
              <w:rPr>
                <w:rFonts w:ascii="Times New Roman" w:hAnsi="Times New Roman" w:eastAsia="黑体" w:cs="Times New Roman"/>
                <w:sz w:val="28"/>
                <w:highlight w:val="none"/>
              </w:rPr>
            </w:pPr>
            <w:r>
              <w:rPr>
                <w:rFonts w:ascii="Times New Roman" w:hAnsi="Times New Roman" w:eastAsia="黑体" w:cs="Times New Roman"/>
                <w:sz w:val="28"/>
                <w:highlight w:val="none"/>
              </w:rPr>
              <w:t>计分标准</w:t>
            </w:r>
          </w:p>
        </w:tc>
        <w:tc>
          <w:tcPr>
            <w:tcW w:w="1985" w:type="dxa"/>
          </w:tcPr>
          <w:p w14:paraId="6337B5CB">
            <w:pPr>
              <w:widowControl/>
              <w:tabs>
                <w:tab w:val="left" w:pos="0"/>
              </w:tabs>
              <w:jc w:val="center"/>
              <w:rPr>
                <w:rFonts w:ascii="Times New Roman" w:hAnsi="Times New Roman" w:eastAsia="黑体" w:cs="Times New Roman"/>
                <w:sz w:val="28"/>
                <w:highlight w:val="none"/>
              </w:rPr>
            </w:pPr>
            <w:r>
              <w:rPr>
                <w:rFonts w:ascii="Times New Roman" w:hAnsi="Times New Roman" w:eastAsia="黑体" w:cs="Times New Roman"/>
                <w:sz w:val="28"/>
                <w:highlight w:val="none"/>
              </w:rPr>
              <w:t>计分标准</w:t>
            </w:r>
          </w:p>
        </w:tc>
      </w:tr>
      <w:tr w14:paraId="71E62F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717" w:type="dxa"/>
            <w:vMerge w:val="restart"/>
            <w:vAlign w:val="center"/>
          </w:tcPr>
          <w:p w14:paraId="7DD205A9">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国家级</w:t>
            </w:r>
          </w:p>
        </w:tc>
        <w:tc>
          <w:tcPr>
            <w:tcW w:w="1618" w:type="dxa"/>
            <w:vMerge w:val="restart"/>
            <w:vAlign w:val="center"/>
          </w:tcPr>
          <w:p w14:paraId="3F9437F2">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一等奖</w:t>
            </w:r>
          </w:p>
        </w:tc>
        <w:tc>
          <w:tcPr>
            <w:tcW w:w="1843" w:type="dxa"/>
            <w:vAlign w:val="center"/>
          </w:tcPr>
          <w:p w14:paraId="2B245D66">
            <w:pPr>
              <w:widowControl/>
              <w:jc w:val="center"/>
              <w:rPr>
                <w:rFonts w:ascii="Times New Roman" w:hAnsi="Times New Roman" w:cs="Times New Roman"/>
                <w:sz w:val="24"/>
                <w:szCs w:val="24"/>
                <w:highlight w:val="none"/>
              </w:rPr>
            </w:pPr>
            <w:r>
              <w:rPr>
                <w:rFonts w:ascii="Times New Roman" w:hAnsi="Times New Roman" w:cs="Times New Roman"/>
                <w:sz w:val="24"/>
                <w:szCs w:val="24"/>
                <w:highlight w:val="none"/>
              </w:rPr>
              <w:t>1-6</w:t>
            </w:r>
          </w:p>
        </w:tc>
        <w:tc>
          <w:tcPr>
            <w:tcW w:w="1642" w:type="dxa"/>
            <w:vAlign w:val="center"/>
          </w:tcPr>
          <w:p w14:paraId="1FEC3109">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60</w:t>
            </w:r>
          </w:p>
        </w:tc>
        <w:tc>
          <w:tcPr>
            <w:tcW w:w="1985" w:type="dxa"/>
            <w:vMerge w:val="restart"/>
            <w:vAlign w:val="center"/>
          </w:tcPr>
          <w:p w14:paraId="1F1BCEB0">
            <w:pPr>
              <w:widowControl/>
              <w:shd w:val="clear" w:color="auto" w:fill="FFFFFF"/>
              <w:spacing w:line="360" w:lineRule="auto"/>
              <w:jc w:val="left"/>
              <w:rPr>
                <w:rFonts w:ascii="Times New Roman" w:hAnsi="Times New Roman" w:cs="Times New Roman"/>
                <w:sz w:val="24"/>
                <w:szCs w:val="24"/>
                <w:highlight w:val="none"/>
              </w:rPr>
            </w:pPr>
            <w:r>
              <w:rPr>
                <w:rFonts w:ascii="Times New Roman" w:hAnsi="Times New Roman" w:eastAsia="黑体" w:cs="Times New Roman"/>
                <w:bCs/>
                <w:kern w:val="15"/>
                <w:sz w:val="24"/>
                <w:szCs w:val="24"/>
                <w:highlight w:val="none"/>
              </w:rPr>
              <w:t>参与评定的科研成果，西北农林科技大学须为第一完成单位。</w:t>
            </w:r>
          </w:p>
        </w:tc>
      </w:tr>
      <w:tr w14:paraId="1E9910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717" w:type="dxa"/>
            <w:vMerge w:val="continue"/>
            <w:vAlign w:val="center"/>
          </w:tcPr>
          <w:p w14:paraId="4DC30E2F">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p>
        </w:tc>
        <w:tc>
          <w:tcPr>
            <w:tcW w:w="1618" w:type="dxa"/>
            <w:vMerge w:val="continue"/>
            <w:vAlign w:val="center"/>
          </w:tcPr>
          <w:p w14:paraId="00E342A1">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p>
        </w:tc>
        <w:tc>
          <w:tcPr>
            <w:tcW w:w="1843" w:type="dxa"/>
            <w:vAlign w:val="center"/>
          </w:tcPr>
          <w:p w14:paraId="4FF095A5">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7-9</w:t>
            </w:r>
          </w:p>
        </w:tc>
        <w:tc>
          <w:tcPr>
            <w:tcW w:w="1642" w:type="dxa"/>
            <w:vAlign w:val="center"/>
          </w:tcPr>
          <w:p w14:paraId="50B61B82">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40</w:t>
            </w:r>
          </w:p>
        </w:tc>
        <w:tc>
          <w:tcPr>
            <w:tcW w:w="1985" w:type="dxa"/>
            <w:vMerge w:val="continue"/>
          </w:tcPr>
          <w:p w14:paraId="471F8D06">
            <w:pPr>
              <w:widowControl/>
              <w:adjustRightInd w:val="0"/>
              <w:snapToGrid w:val="0"/>
              <w:spacing w:before="100" w:beforeAutospacing="1" w:after="100" w:afterAutospacing="1"/>
              <w:contextualSpacing/>
              <w:jc w:val="center"/>
              <w:rPr>
                <w:rFonts w:ascii="Times New Roman" w:hAnsi="Times New Roman" w:cs="Times New Roman"/>
                <w:sz w:val="28"/>
                <w:highlight w:val="none"/>
              </w:rPr>
            </w:pPr>
          </w:p>
        </w:tc>
      </w:tr>
      <w:tr w14:paraId="7CB48F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717" w:type="dxa"/>
            <w:vMerge w:val="continue"/>
            <w:vAlign w:val="center"/>
          </w:tcPr>
          <w:p w14:paraId="38AC2DE2">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p>
        </w:tc>
        <w:tc>
          <w:tcPr>
            <w:tcW w:w="1618" w:type="dxa"/>
            <w:vAlign w:val="center"/>
          </w:tcPr>
          <w:p w14:paraId="028FB586">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二等奖</w:t>
            </w:r>
          </w:p>
        </w:tc>
        <w:tc>
          <w:tcPr>
            <w:tcW w:w="1843" w:type="dxa"/>
            <w:vAlign w:val="center"/>
          </w:tcPr>
          <w:p w14:paraId="41DE77CC">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1-6</w:t>
            </w:r>
          </w:p>
        </w:tc>
        <w:tc>
          <w:tcPr>
            <w:tcW w:w="1642" w:type="dxa"/>
            <w:vAlign w:val="center"/>
          </w:tcPr>
          <w:p w14:paraId="03CBEB30">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20</w:t>
            </w:r>
          </w:p>
        </w:tc>
        <w:tc>
          <w:tcPr>
            <w:tcW w:w="1985" w:type="dxa"/>
            <w:vMerge w:val="continue"/>
          </w:tcPr>
          <w:p w14:paraId="546BAE66">
            <w:pPr>
              <w:widowControl/>
              <w:adjustRightInd w:val="0"/>
              <w:snapToGrid w:val="0"/>
              <w:spacing w:before="100" w:beforeAutospacing="1" w:after="100" w:afterAutospacing="1"/>
              <w:contextualSpacing/>
              <w:jc w:val="center"/>
              <w:rPr>
                <w:rFonts w:ascii="Times New Roman" w:hAnsi="Times New Roman" w:cs="Times New Roman"/>
                <w:sz w:val="28"/>
                <w:highlight w:val="none"/>
              </w:rPr>
            </w:pPr>
          </w:p>
        </w:tc>
      </w:tr>
      <w:tr w14:paraId="3431A4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717" w:type="dxa"/>
            <w:vMerge w:val="restart"/>
            <w:tcBorders>
              <w:right w:val="single" w:color="auto" w:sz="4" w:space="0"/>
            </w:tcBorders>
            <w:vAlign w:val="center"/>
          </w:tcPr>
          <w:p w14:paraId="7E1FB6B3">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省部级</w:t>
            </w:r>
          </w:p>
        </w:tc>
        <w:tc>
          <w:tcPr>
            <w:tcW w:w="1618" w:type="dxa"/>
            <w:tcBorders>
              <w:left w:val="single" w:color="auto" w:sz="4" w:space="0"/>
            </w:tcBorders>
            <w:vAlign w:val="center"/>
          </w:tcPr>
          <w:p w14:paraId="16E9A08A">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一等奖</w:t>
            </w:r>
          </w:p>
        </w:tc>
        <w:tc>
          <w:tcPr>
            <w:tcW w:w="1843" w:type="dxa"/>
            <w:vAlign w:val="center"/>
          </w:tcPr>
          <w:p w14:paraId="3E97A322">
            <w:pPr>
              <w:widowControl/>
              <w:jc w:val="center"/>
              <w:rPr>
                <w:rFonts w:ascii="Times New Roman" w:hAnsi="Times New Roman" w:cs="Times New Roman"/>
                <w:sz w:val="24"/>
                <w:szCs w:val="24"/>
                <w:highlight w:val="none"/>
              </w:rPr>
            </w:pPr>
            <w:r>
              <w:rPr>
                <w:rFonts w:ascii="Times New Roman" w:hAnsi="Times New Roman" w:cs="Times New Roman"/>
                <w:sz w:val="24"/>
                <w:szCs w:val="24"/>
                <w:highlight w:val="none"/>
              </w:rPr>
              <w:t>1-5</w:t>
            </w:r>
          </w:p>
        </w:tc>
        <w:tc>
          <w:tcPr>
            <w:tcW w:w="1642" w:type="dxa"/>
            <w:vAlign w:val="center"/>
          </w:tcPr>
          <w:p w14:paraId="48A1313B">
            <w:pPr>
              <w:widowControl/>
              <w:jc w:val="center"/>
              <w:rPr>
                <w:rFonts w:ascii="Times New Roman" w:hAnsi="Times New Roman" w:cs="Times New Roman"/>
                <w:sz w:val="24"/>
                <w:szCs w:val="24"/>
                <w:highlight w:val="none"/>
              </w:rPr>
            </w:pPr>
            <w:r>
              <w:rPr>
                <w:rFonts w:ascii="Times New Roman" w:hAnsi="Times New Roman" w:cs="Times New Roman"/>
                <w:sz w:val="24"/>
                <w:szCs w:val="24"/>
                <w:highlight w:val="none"/>
              </w:rPr>
              <w:t>20</w:t>
            </w:r>
          </w:p>
        </w:tc>
        <w:tc>
          <w:tcPr>
            <w:tcW w:w="1985" w:type="dxa"/>
            <w:vMerge w:val="continue"/>
          </w:tcPr>
          <w:p w14:paraId="7291E704">
            <w:pPr>
              <w:widowControl/>
              <w:adjustRightInd w:val="0"/>
              <w:snapToGrid w:val="0"/>
              <w:spacing w:before="100" w:beforeAutospacing="1" w:after="100" w:afterAutospacing="1"/>
              <w:contextualSpacing/>
              <w:jc w:val="center"/>
              <w:rPr>
                <w:rFonts w:ascii="Times New Roman" w:hAnsi="Times New Roman" w:cs="Times New Roman"/>
                <w:sz w:val="28"/>
                <w:highlight w:val="none"/>
              </w:rPr>
            </w:pPr>
          </w:p>
        </w:tc>
      </w:tr>
      <w:tr w14:paraId="7CC25A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717" w:type="dxa"/>
            <w:vMerge w:val="continue"/>
            <w:tcBorders>
              <w:right w:val="single" w:color="auto" w:sz="4" w:space="0"/>
            </w:tcBorders>
            <w:vAlign w:val="center"/>
          </w:tcPr>
          <w:p w14:paraId="000EF8C7">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p>
        </w:tc>
        <w:tc>
          <w:tcPr>
            <w:tcW w:w="1618" w:type="dxa"/>
            <w:tcBorders>
              <w:left w:val="single" w:color="auto" w:sz="4" w:space="0"/>
            </w:tcBorders>
            <w:vAlign w:val="center"/>
          </w:tcPr>
          <w:p w14:paraId="5FCC02AA">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二等奖</w:t>
            </w:r>
          </w:p>
        </w:tc>
        <w:tc>
          <w:tcPr>
            <w:tcW w:w="1843" w:type="dxa"/>
            <w:vAlign w:val="center"/>
          </w:tcPr>
          <w:p w14:paraId="65C13DD1">
            <w:pPr>
              <w:widowControl/>
              <w:jc w:val="center"/>
              <w:rPr>
                <w:rFonts w:ascii="Times New Roman" w:hAnsi="Times New Roman" w:cs="Times New Roman"/>
                <w:sz w:val="24"/>
                <w:szCs w:val="24"/>
                <w:highlight w:val="none"/>
              </w:rPr>
            </w:pPr>
            <w:r>
              <w:rPr>
                <w:rFonts w:ascii="Times New Roman" w:hAnsi="Times New Roman" w:cs="Times New Roman"/>
                <w:sz w:val="24"/>
                <w:szCs w:val="24"/>
                <w:highlight w:val="none"/>
              </w:rPr>
              <w:t>1-3</w:t>
            </w:r>
          </w:p>
        </w:tc>
        <w:tc>
          <w:tcPr>
            <w:tcW w:w="1642" w:type="dxa"/>
            <w:vAlign w:val="center"/>
          </w:tcPr>
          <w:p w14:paraId="0F93A1F7">
            <w:pPr>
              <w:widowControl/>
              <w:jc w:val="center"/>
              <w:rPr>
                <w:rFonts w:ascii="Times New Roman" w:hAnsi="Times New Roman" w:cs="Times New Roman"/>
                <w:sz w:val="24"/>
                <w:szCs w:val="24"/>
                <w:highlight w:val="none"/>
              </w:rPr>
            </w:pPr>
            <w:r>
              <w:rPr>
                <w:rFonts w:ascii="Times New Roman" w:hAnsi="Times New Roman" w:cs="Times New Roman"/>
                <w:sz w:val="24"/>
                <w:szCs w:val="24"/>
                <w:highlight w:val="none"/>
              </w:rPr>
              <w:t>10</w:t>
            </w:r>
          </w:p>
        </w:tc>
        <w:tc>
          <w:tcPr>
            <w:tcW w:w="1985" w:type="dxa"/>
            <w:vMerge w:val="continue"/>
          </w:tcPr>
          <w:p w14:paraId="29F85630">
            <w:pPr>
              <w:widowControl/>
              <w:adjustRightInd w:val="0"/>
              <w:snapToGrid w:val="0"/>
              <w:spacing w:before="100" w:beforeAutospacing="1" w:after="100" w:afterAutospacing="1"/>
              <w:contextualSpacing/>
              <w:jc w:val="center"/>
              <w:rPr>
                <w:rFonts w:ascii="Times New Roman" w:hAnsi="Times New Roman" w:cs="Times New Roman"/>
                <w:sz w:val="28"/>
                <w:highlight w:val="none"/>
              </w:rPr>
            </w:pPr>
          </w:p>
        </w:tc>
      </w:tr>
      <w:tr w14:paraId="350050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717" w:type="dxa"/>
            <w:vMerge w:val="continue"/>
            <w:tcBorders>
              <w:right w:val="single" w:color="auto" w:sz="4" w:space="0"/>
            </w:tcBorders>
            <w:vAlign w:val="center"/>
          </w:tcPr>
          <w:p w14:paraId="1960FEA2">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p>
        </w:tc>
        <w:tc>
          <w:tcPr>
            <w:tcW w:w="1618" w:type="dxa"/>
            <w:tcBorders>
              <w:left w:val="single" w:color="auto" w:sz="4" w:space="0"/>
            </w:tcBorders>
            <w:vAlign w:val="center"/>
          </w:tcPr>
          <w:p w14:paraId="260C4210">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三等奖</w:t>
            </w:r>
          </w:p>
        </w:tc>
        <w:tc>
          <w:tcPr>
            <w:tcW w:w="1843" w:type="dxa"/>
            <w:vAlign w:val="center"/>
          </w:tcPr>
          <w:p w14:paraId="4795984F">
            <w:pPr>
              <w:widowControl/>
              <w:jc w:val="center"/>
              <w:rPr>
                <w:rFonts w:ascii="Times New Roman" w:hAnsi="Times New Roman" w:cs="Times New Roman"/>
                <w:sz w:val="24"/>
                <w:szCs w:val="24"/>
                <w:highlight w:val="none"/>
              </w:rPr>
            </w:pPr>
            <w:r>
              <w:rPr>
                <w:rFonts w:ascii="Times New Roman" w:hAnsi="Times New Roman" w:cs="Times New Roman"/>
                <w:sz w:val="24"/>
                <w:szCs w:val="24"/>
                <w:highlight w:val="none"/>
              </w:rPr>
              <w:t>1</w:t>
            </w:r>
          </w:p>
        </w:tc>
        <w:tc>
          <w:tcPr>
            <w:tcW w:w="1642" w:type="dxa"/>
            <w:vAlign w:val="center"/>
          </w:tcPr>
          <w:p w14:paraId="2031BC8B">
            <w:pPr>
              <w:widowControl/>
              <w:jc w:val="center"/>
              <w:rPr>
                <w:rFonts w:ascii="Times New Roman" w:hAnsi="Times New Roman" w:cs="Times New Roman"/>
                <w:sz w:val="24"/>
                <w:szCs w:val="24"/>
                <w:highlight w:val="none"/>
              </w:rPr>
            </w:pPr>
            <w:r>
              <w:rPr>
                <w:rFonts w:ascii="Times New Roman" w:hAnsi="Times New Roman" w:cs="Times New Roman"/>
                <w:sz w:val="24"/>
                <w:szCs w:val="24"/>
                <w:highlight w:val="none"/>
              </w:rPr>
              <w:t>4</w:t>
            </w:r>
          </w:p>
        </w:tc>
        <w:tc>
          <w:tcPr>
            <w:tcW w:w="1985" w:type="dxa"/>
            <w:vMerge w:val="continue"/>
          </w:tcPr>
          <w:p w14:paraId="1213D0B0">
            <w:pPr>
              <w:widowControl/>
              <w:adjustRightInd w:val="0"/>
              <w:snapToGrid w:val="0"/>
              <w:spacing w:before="100" w:beforeAutospacing="1" w:after="100" w:afterAutospacing="1"/>
              <w:contextualSpacing/>
              <w:jc w:val="center"/>
              <w:rPr>
                <w:rFonts w:ascii="Times New Roman" w:hAnsi="Times New Roman" w:cs="Times New Roman"/>
                <w:sz w:val="28"/>
                <w:highlight w:val="none"/>
              </w:rPr>
            </w:pPr>
          </w:p>
        </w:tc>
      </w:tr>
    </w:tbl>
    <w:p w14:paraId="25C29405">
      <w:pPr>
        <w:widowControl/>
        <w:shd w:val="clear" w:color="auto" w:fill="FFFFFF"/>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以上同一科研成果获奖加分按照就高不就低原则执行，不重复加分。</w:t>
      </w:r>
    </w:p>
    <w:p w14:paraId="60772F51">
      <w:pPr>
        <w:ind w:firstLine="600" w:firstLineChars="200"/>
        <w:outlineLvl w:val="2"/>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4.附加分</w:t>
      </w:r>
    </w:p>
    <w:p w14:paraId="4897150C">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（1）通过大学英语六级考试者加5分，参加托福、雅思、GRE考试，成绩分别达到90分（含）、6.5分（含）、310分（含）以上者，加10分。按照就高不就低的原则加分，不重复加分。</w:t>
      </w:r>
    </w:p>
    <w:p w14:paraId="48921FDF">
      <w:pPr>
        <w:spacing w:line="600" w:lineRule="exact"/>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（2）获得国家级</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Times New Roman"/>
          <w:sz w:val="30"/>
          <w:szCs w:val="30"/>
          <w:highlight w:val="none"/>
          <w:lang w:val="en-US" w:eastAsia="zh-CN"/>
        </w:rPr>
        <w:t>省部级</w:t>
      </w:r>
      <w:r>
        <w:rPr>
          <w:rFonts w:ascii="Times New Roman" w:hAnsi="Times New Roman" w:eastAsia="仿宋_GB2312" w:cs="Times New Roman"/>
          <w:sz w:val="30"/>
          <w:szCs w:val="30"/>
          <w:highlight w:val="none"/>
        </w:rPr>
        <w:t>学术科技竞赛（“挑战杯”全国大学生课外学术科技作品竞赛、“创青春”全国大学生创业计划大赛、中国“互联网+”大学生创新创业大赛等学校认定的竞赛项目）特等、一等（金奖）和二等奖（银奖），其中特等奖排序前3名，一等奖排序前2名，二等奖排序第1名者按以下标准进行加分。</w:t>
      </w:r>
    </w:p>
    <w:p w14:paraId="3434F1C1">
      <w:pPr>
        <w:spacing w:line="600" w:lineRule="exact"/>
        <w:ind w:firstLine="600" w:firstLineChars="200"/>
        <w:rPr>
          <w:rFonts w:ascii="Times New Roman" w:hAnsi="Times New Roman" w:eastAsia="仿宋_GB2312" w:cs="Times New Roman"/>
          <w:sz w:val="30"/>
          <w:szCs w:val="30"/>
          <w:highlight w:val="none"/>
        </w:rPr>
      </w:pPr>
    </w:p>
    <w:p w14:paraId="6832B212">
      <w:pPr>
        <w:spacing w:line="600" w:lineRule="exact"/>
        <w:ind w:firstLine="600" w:firstLineChars="200"/>
        <w:rPr>
          <w:rFonts w:ascii="Times New Roman" w:hAnsi="Times New Roman" w:eastAsia="仿宋_GB2312" w:cs="Times New Roman"/>
          <w:sz w:val="30"/>
          <w:szCs w:val="30"/>
          <w:highlight w:val="none"/>
        </w:rPr>
      </w:pPr>
    </w:p>
    <w:p w14:paraId="22945CE9">
      <w:pPr>
        <w:spacing w:line="600" w:lineRule="exact"/>
        <w:ind w:firstLine="600" w:firstLineChars="200"/>
        <w:rPr>
          <w:rFonts w:ascii="Times New Roman" w:hAnsi="Times New Roman" w:eastAsia="仿宋_GB2312" w:cs="Times New Roman"/>
          <w:sz w:val="30"/>
          <w:szCs w:val="30"/>
          <w:highlight w:val="none"/>
        </w:rPr>
      </w:pPr>
    </w:p>
    <w:tbl>
      <w:tblPr>
        <w:tblStyle w:val="11"/>
        <w:tblW w:w="934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26"/>
        <w:gridCol w:w="2849"/>
        <w:gridCol w:w="2303"/>
        <w:gridCol w:w="2467"/>
      </w:tblGrid>
      <w:tr w14:paraId="792596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726" w:type="dxa"/>
          </w:tcPr>
          <w:p w14:paraId="44591702">
            <w:pPr>
              <w:widowControl/>
              <w:tabs>
                <w:tab w:val="left" w:pos="0"/>
              </w:tabs>
              <w:jc w:val="center"/>
              <w:rPr>
                <w:rFonts w:ascii="Times New Roman" w:hAnsi="Times New Roman" w:eastAsia="黑体" w:cs="Times New Roman"/>
                <w:sz w:val="28"/>
                <w:highlight w:val="none"/>
              </w:rPr>
            </w:pPr>
            <w:r>
              <w:rPr>
                <w:rFonts w:ascii="Times New Roman" w:hAnsi="Times New Roman" w:eastAsia="黑体" w:cs="Times New Roman"/>
                <w:sz w:val="28"/>
                <w:highlight w:val="none"/>
              </w:rPr>
              <w:t>获奖等级</w:t>
            </w:r>
          </w:p>
        </w:tc>
        <w:tc>
          <w:tcPr>
            <w:tcW w:w="2849" w:type="dxa"/>
          </w:tcPr>
          <w:p w14:paraId="19801123">
            <w:pPr>
              <w:widowControl/>
              <w:tabs>
                <w:tab w:val="left" w:pos="0"/>
              </w:tabs>
              <w:jc w:val="center"/>
              <w:rPr>
                <w:rFonts w:ascii="Times New Roman" w:hAnsi="Times New Roman" w:eastAsia="黑体" w:cs="Times New Roman"/>
                <w:sz w:val="28"/>
                <w:highlight w:val="none"/>
              </w:rPr>
            </w:pPr>
            <w:r>
              <w:rPr>
                <w:rFonts w:ascii="Times New Roman" w:hAnsi="Times New Roman" w:eastAsia="黑体" w:cs="Times New Roman"/>
                <w:sz w:val="28"/>
                <w:highlight w:val="none"/>
              </w:rPr>
              <w:t>排名顺序</w:t>
            </w:r>
          </w:p>
        </w:tc>
        <w:tc>
          <w:tcPr>
            <w:tcW w:w="2303" w:type="dxa"/>
          </w:tcPr>
          <w:p w14:paraId="3818A605">
            <w:pPr>
              <w:widowControl/>
              <w:tabs>
                <w:tab w:val="left" w:pos="0"/>
              </w:tabs>
              <w:jc w:val="center"/>
              <w:rPr>
                <w:rFonts w:ascii="Times New Roman" w:hAnsi="Times New Roman" w:eastAsia="黑体" w:cs="Times New Roman"/>
                <w:sz w:val="28"/>
                <w:highlight w:val="none"/>
              </w:rPr>
            </w:pPr>
            <w:r>
              <w:rPr>
                <w:rFonts w:hint="eastAsia" w:ascii="Times New Roman" w:hAnsi="Times New Roman" w:eastAsia="黑体" w:cs="Times New Roman"/>
                <w:sz w:val="28"/>
                <w:highlight w:val="none"/>
                <w:lang w:val="en-US" w:eastAsia="zh-CN"/>
              </w:rPr>
              <w:t>国家级</w:t>
            </w:r>
            <w:r>
              <w:rPr>
                <w:rFonts w:ascii="Times New Roman" w:hAnsi="Times New Roman" w:eastAsia="黑体" w:cs="Times New Roman"/>
                <w:sz w:val="28"/>
                <w:highlight w:val="none"/>
              </w:rPr>
              <w:t>计分标准</w:t>
            </w:r>
          </w:p>
        </w:tc>
        <w:tc>
          <w:tcPr>
            <w:tcW w:w="2467" w:type="dxa"/>
          </w:tcPr>
          <w:p w14:paraId="7C447E69">
            <w:pPr>
              <w:widowControl/>
              <w:tabs>
                <w:tab w:val="left" w:pos="0"/>
              </w:tabs>
              <w:jc w:val="center"/>
              <w:rPr>
                <w:rFonts w:hint="default" w:ascii="Times New Roman" w:hAnsi="Times New Roman" w:eastAsia="黑体" w:cs="Times New Roman"/>
                <w:sz w:val="28"/>
                <w:highlight w:val="none"/>
                <w:lang w:val="en-US" w:eastAsia="zh-CN"/>
              </w:rPr>
            </w:pPr>
            <w:r>
              <w:rPr>
                <w:rFonts w:hint="eastAsia" w:ascii="Times New Roman" w:hAnsi="Times New Roman" w:eastAsia="黑体" w:cs="Times New Roman"/>
                <w:sz w:val="28"/>
                <w:highlight w:val="none"/>
                <w:lang w:val="en-US" w:eastAsia="zh-CN"/>
              </w:rPr>
              <w:t>省部级计分标准</w:t>
            </w:r>
          </w:p>
        </w:tc>
      </w:tr>
      <w:tr w14:paraId="7D6F1F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726" w:type="dxa"/>
            <w:vMerge w:val="restart"/>
            <w:vAlign w:val="center"/>
          </w:tcPr>
          <w:p w14:paraId="087233FE">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特等奖</w:t>
            </w:r>
          </w:p>
        </w:tc>
        <w:tc>
          <w:tcPr>
            <w:tcW w:w="2849" w:type="dxa"/>
            <w:vAlign w:val="center"/>
          </w:tcPr>
          <w:p w14:paraId="6A43ECD3">
            <w:pPr>
              <w:widowControl/>
              <w:jc w:val="center"/>
              <w:rPr>
                <w:rFonts w:ascii="Times New Roman" w:hAnsi="Times New Roman" w:cs="Times New Roman"/>
                <w:sz w:val="24"/>
                <w:szCs w:val="24"/>
                <w:highlight w:val="none"/>
              </w:rPr>
            </w:pPr>
            <w:r>
              <w:rPr>
                <w:rFonts w:ascii="Times New Roman" w:hAnsi="Times New Roman" w:cs="Times New Roman"/>
                <w:sz w:val="24"/>
                <w:szCs w:val="24"/>
                <w:highlight w:val="none"/>
              </w:rPr>
              <w:t>1</w:t>
            </w:r>
          </w:p>
        </w:tc>
        <w:tc>
          <w:tcPr>
            <w:tcW w:w="2303" w:type="dxa"/>
            <w:vAlign w:val="center"/>
          </w:tcPr>
          <w:p w14:paraId="20384081">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20</w:t>
            </w:r>
          </w:p>
        </w:tc>
        <w:tc>
          <w:tcPr>
            <w:tcW w:w="2467" w:type="dxa"/>
            <w:vAlign w:val="center"/>
          </w:tcPr>
          <w:p w14:paraId="12361DA9">
            <w:pPr>
              <w:widowControl/>
              <w:adjustRightInd w:val="0"/>
              <w:snapToGrid w:val="0"/>
              <w:spacing w:before="100" w:beforeAutospacing="1" w:after="100" w:afterAutospacing="1"/>
              <w:contextualSpacing/>
              <w:jc w:val="center"/>
              <w:rPr>
                <w:rFonts w:hint="default" w:ascii="Times New Roman" w:hAnsi="Times New Roman" w:eastAsia="宋体" w:cs="Times New Roman"/>
                <w:sz w:val="24"/>
                <w:szCs w:val="24"/>
                <w:highlight w:val="none"/>
                <w:lang w:val="en-US" w:eastAsia="zh-CN"/>
              </w:rPr>
            </w:pPr>
            <w:r>
              <w:rPr>
                <w:rFonts w:hint="eastAsia" w:ascii="Times New Roman" w:hAnsi="Times New Roman" w:cs="Times New Roman"/>
                <w:sz w:val="24"/>
                <w:szCs w:val="24"/>
                <w:highlight w:val="none"/>
                <w:lang w:val="en-US" w:eastAsia="zh-CN"/>
              </w:rPr>
              <w:t>14</w:t>
            </w:r>
          </w:p>
        </w:tc>
      </w:tr>
      <w:tr w14:paraId="0B2BC0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726" w:type="dxa"/>
            <w:vMerge w:val="continue"/>
            <w:vAlign w:val="center"/>
          </w:tcPr>
          <w:p w14:paraId="10F9EE52">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p>
        </w:tc>
        <w:tc>
          <w:tcPr>
            <w:tcW w:w="2849" w:type="dxa"/>
            <w:vAlign w:val="center"/>
          </w:tcPr>
          <w:p w14:paraId="70B53502">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2</w:t>
            </w:r>
          </w:p>
        </w:tc>
        <w:tc>
          <w:tcPr>
            <w:tcW w:w="2303" w:type="dxa"/>
            <w:vAlign w:val="center"/>
          </w:tcPr>
          <w:p w14:paraId="678A2319">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10</w:t>
            </w:r>
          </w:p>
        </w:tc>
        <w:tc>
          <w:tcPr>
            <w:tcW w:w="2467" w:type="dxa"/>
            <w:vAlign w:val="center"/>
          </w:tcPr>
          <w:p w14:paraId="05F74F6D">
            <w:pPr>
              <w:widowControl/>
              <w:adjustRightInd w:val="0"/>
              <w:snapToGrid w:val="0"/>
              <w:spacing w:before="100" w:beforeAutospacing="1" w:after="100" w:afterAutospacing="1"/>
              <w:contextualSpacing/>
              <w:jc w:val="center"/>
              <w:rPr>
                <w:rFonts w:hint="eastAsia" w:ascii="Times New Roman" w:hAnsi="Times New Roman" w:eastAsia="宋体" w:cs="Times New Roman"/>
                <w:sz w:val="24"/>
                <w:szCs w:val="24"/>
                <w:highlight w:val="none"/>
                <w:lang w:val="en-US" w:eastAsia="zh-CN"/>
              </w:rPr>
            </w:pPr>
            <w:r>
              <w:rPr>
                <w:rFonts w:hint="eastAsia" w:ascii="Times New Roman" w:hAnsi="Times New Roman" w:cs="Times New Roman"/>
                <w:sz w:val="24"/>
                <w:szCs w:val="24"/>
                <w:highlight w:val="none"/>
                <w:lang w:val="en-US" w:eastAsia="zh-CN"/>
              </w:rPr>
              <w:t>7</w:t>
            </w:r>
          </w:p>
        </w:tc>
      </w:tr>
      <w:tr w14:paraId="34D95E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726" w:type="dxa"/>
            <w:vMerge w:val="continue"/>
            <w:vAlign w:val="center"/>
          </w:tcPr>
          <w:p w14:paraId="7A7D4842">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p>
        </w:tc>
        <w:tc>
          <w:tcPr>
            <w:tcW w:w="2849" w:type="dxa"/>
            <w:vAlign w:val="center"/>
          </w:tcPr>
          <w:p w14:paraId="5FB9292F">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3</w:t>
            </w:r>
          </w:p>
        </w:tc>
        <w:tc>
          <w:tcPr>
            <w:tcW w:w="2303" w:type="dxa"/>
            <w:vAlign w:val="center"/>
          </w:tcPr>
          <w:p w14:paraId="21872879">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5</w:t>
            </w:r>
          </w:p>
        </w:tc>
        <w:tc>
          <w:tcPr>
            <w:tcW w:w="2467" w:type="dxa"/>
            <w:vAlign w:val="center"/>
          </w:tcPr>
          <w:p w14:paraId="640ABBFE">
            <w:pPr>
              <w:widowControl/>
              <w:adjustRightInd w:val="0"/>
              <w:snapToGrid w:val="0"/>
              <w:spacing w:before="100" w:beforeAutospacing="1" w:after="100" w:afterAutospacing="1"/>
              <w:contextualSpacing/>
              <w:jc w:val="center"/>
              <w:rPr>
                <w:rFonts w:hint="eastAsia" w:ascii="Times New Roman" w:hAnsi="Times New Roman" w:eastAsia="宋体" w:cs="Times New Roman"/>
                <w:sz w:val="24"/>
                <w:szCs w:val="24"/>
                <w:highlight w:val="none"/>
                <w:lang w:val="en-US" w:eastAsia="zh-CN"/>
              </w:rPr>
            </w:pPr>
            <w:r>
              <w:rPr>
                <w:rFonts w:hint="eastAsia" w:ascii="Times New Roman" w:hAnsi="Times New Roman" w:cs="Times New Roman"/>
                <w:sz w:val="24"/>
                <w:szCs w:val="24"/>
                <w:highlight w:val="none"/>
                <w:lang w:val="en-US" w:eastAsia="zh-CN"/>
              </w:rPr>
              <w:t>3</w:t>
            </w:r>
          </w:p>
        </w:tc>
      </w:tr>
      <w:tr w14:paraId="7A9BD2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726" w:type="dxa"/>
            <w:vMerge w:val="restart"/>
            <w:tcBorders>
              <w:left w:val="single" w:color="auto" w:sz="4" w:space="0"/>
            </w:tcBorders>
            <w:vAlign w:val="center"/>
          </w:tcPr>
          <w:p w14:paraId="17654E35">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一等奖（金奖）</w:t>
            </w:r>
          </w:p>
        </w:tc>
        <w:tc>
          <w:tcPr>
            <w:tcW w:w="2849" w:type="dxa"/>
            <w:vAlign w:val="center"/>
          </w:tcPr>
          <w:p w14:paraId="67AB0145">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1</w:t>
            </w:r>
          </w:p>
        </w:tc>
        <w:tc>
          <w:tcPr>
            <w:tcW w:w="2303" w:type="dxa"/>
            <w:vAlign w:val="center"/>
          </w:tcPr>
          <w:p w14:paraId="59B7BD3E">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10</w:t>
            </w:r>
          </w:p>
        </w:tc>
        <w:tc>
          <w:tcPr>
            <w:tcW w:w="2467" w:type="dxa"/>
            <w:vAlign w:val="center"/>
          </w:tcPr>
          <w:p w14:paraId="1AB792EB">
            <w:pPr>
              <w:widowControl/>
              <w:adjustRightInd w:val="0"/>
              <w:snapToGrid w:val="0"/>
              <w:spacing w:before="100" w:beforeAutospacing="1" w:after="100" w:afterAutospacing="1"/>
              <w:contextualSpacing/>
              <w:jc w:val="center"/>
              <w:rPr>
                <w:rFonts w:hint="eastAsia" w:ascii="Times New Roman" w:hAnsi="Times New Roman" w:eastAsia="宋体" w:cs="Times New Roman"/>
                <w:sz w:val="24"/>
                <w:szCs w:val="24"/>
                <w:highlight w:val="none"/>
                <w:lang w:val="en-US" w:eastAsia="zh-CN"/>
              </w:rPr>
            </w:pPr>
            <w:r>
              <w:rPr>
                <w:rFonts w:hint="eastAsia" w:ascii="Times New Roman" w:hAnsi="Times New Roman" w:cs="Times New Roman"/>
                <w:sz w:val="24"/>
                <w:szCs w:val="24"/>
                <w:highlight w:val="none"/>
                <w:lang w:val="en-US" w:eastAsia="zh-CN"/>
              </w:rPr>
              <w:t>7</w:t>
            </w:r>
          </w:p>
        </w:tc>
      </w:tr>
      <w:tr w14:paraId="7C5155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726" w:type="dxa"/>
            <w:vMerge w:val="continue"/>
            <w:tcBorders>
              <w:left w:val="single" w:color="auto" w:sz="4" w:space="0"/>
            </w:tcBorders>
            <w:vAlign w:val="center"/>
          </w:tcPr>
          <w:p w14:paraId="0ED2425B">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p>
        </w:tc>
        <w:tc>
          <w:tcPr>
            <w:tcW w:w="2849" w:type="dxa"/>
            <w:vAlign w:val="center"/>
          </w:tcPr>
          <w:p w14:paraId="62403289">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2</w:t>
            </w:r>
          </w:p>
        </w:tc>
        <w:tc>
          <w:tcPr>
            <w:tcW w:w="2303" w:type="dxa"/>
            <w:vAlign w:val="center"/>
          </w:tcPr>
          <w:p w14:paraId="59E2F429">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5</w:t>
            </w:r>
          </w:p>
        </w:tc>
        <w:tc>
          <w:tcPr>
            <w:tcW w:w="2467" w:type="dxa"/>
            <w:vAlign w:val="center"/>
          </w:tcPr>
          <w:p w14:paraId="7A3D7F86">
            <w:pPr>
              <w:widowControl/>
              <w:adjustRightInd w:val="0"/>
              <w:snapToGrid w:val="0"/>
              <w:spacing w:before="100" w:beforeAutospacing="1" w:after="100" w:afterAutospacing="1"/>
              <w:contextualSpacing/>
              <w:jc w:val="center"/>
              <w:rPr>
                <w:rFonts w:hint="eastAsia" w:ascii="Times New Roman" w:hAnsi="Times New Roman" w:eastAsia="宋体" w:cs="Times New Roman"/>
                <w:sz w:val="24"/>
                <w:szCs w:val="24"/>
                <w:highlight w:val="none"/>
                <w:lang w:val="en-US" w:eastAsia="zh-CN"/>
              </w:rPr>
            </w:pPr>
            <w:r>
              <w:rPr>
                <w:rFonts w:hint="eastAsia" w:ascii="Times New Roman" w:hAnsi="Times New Roman" w:cs="Times New Roman"/>
                <w:sz w:val="24"/>
                <w:szCs w:val="24"/>
                <w:highlight w:val="none"/>
                <w:lang w:val="en-US" w:eastAsia="zh-CN"/>
              </w:rPr>
              <w:t>3</w:t>
            </w:r>
          </w:p>
        </w:tc>
      </w:tr>
      <w:tr w14:paraId="5AFE90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726" w:type="dxa"/>
            <w:tcBorders>
              <w:left w:val="single" w:color="auto" w:sz="4" w:space="0"/>
            </w:tcBorders>
            <w:vAlign w:val="center"/>
          </w:tcPr>
          <w:p w14:paraId="1DAF2469">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二等奖（银奖）</w:t>
            </w:r>
          </w:p>
        </w:tc>
        <w:tc>
          <w:tcPr>
            <w:tcW w:w="2849" w:type="dxa"/>
            <w:vAlign w:val="center"/>
          </w:tcPr>
          <w:p w14:paraId="25222F1B">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1</w:t>
            </w:r>
          </w:p>
        </w:tc>
        <w:tc>
          <w:tcPr>
            <w:tcW w:w="2303" w:type="dxa"/>
            <w:vAlign w:val="center"/>
          </w:tcPr>
          <w:p w14:paraId="7E70193C">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5</w:t>
            </w:r>
          </w:p>
        </w:tc>
        <w:tc>
          <w:tcPr>
            <w:tcW w:w="2467" w:type="dxa"/>
            <w:vAlign w:val="center"/>
          </w:tcPr>
          <w:p w14:paraId="58C6A00A">
            <w:pPr>
              <w:widowControl/>
              <w:adjustRightInd w:val="0"/>
              <w:snapToGrid w:val="0"/>
              <w:spacing w:before="100" w:beforeAutospacing="1" w:after="100" w:afterAutospacing="1"/>
              <w:contextualSpacing/>
              <w:jc w:val="center"/>
              <w:rPr>
                <w:rFonts w:hint="eastAsia" w:ascii="Times New Roman" w:hAnsi="Times New Roman" w:eastAsia="宋体" w:cs="Times New Roman"/>
                <w:sz w:val="24"/>
                <w:szCs w:val="24"/>
                <w:highlight w:val="none"/>
                <w:lang w:val="en-US" w:eastAsia="zh-CN"/>
              </w:rPr>
            </w:pPr>
            <w:r>
              <w:rPr>
                <w:rFonts w:hint="eastAsia" w:ascii="Times New Roman" w:hAnsi="Times New Roman" w:cs="Times New Roman"/>
                <w:sz w:val="24"/>
                <w:szCs w:val="24"/>
                <w:highlight w:val="none"/>
                <w:lang w:val="en-US" w:eastAsia="zh-CN"/>
              </w:rPr>
              <w:t>3</w:t>
            </w:r>
          </w:p>
        </w:tc>
      </w:tr>
    </w:tbl>
    <w:p w14:paraId="54C698F2">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（3）学位课单科成绩低于70分者，每门次从</w:t>
      </w:r>
      <w:r>
        <w:rPr>
          <w:rFonts w:ascii="Times New Roman" w:hAnsi="Times New Roman" w:cs="Times New Roman"/>
          <w:sz w:val="30"/>
          <w:szCs w:val="30"/>
          <w:highlight w:val="none"/>
        </w:rPr>
        <w:t>整体得分中扣</w:t>
      </w:r>
      <w:r>
        <w:rPr>
          <w:rFonts w:ascii="Times New Roman" w:hAnsi="Times New Roman" w:eastAsia="仿宋_GB2312" w:cs="Times New Roman"/>
          <w:sz w:val="30"/>
          <w:szCs w:val="30"/>
          <w:highlight w:val="none"/>
        </w:rPr>
        <w:t>减5分；</w:t>
      </w:r>
    </w:p>
    <w:p w14:paraId="7084E4CF">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（4）参加国内学术会议并作报</w:t>
      </w:r>
      <w:r>
        <w:rPr>
          <w:rFonts w:hint="eastAsia" w:ascii="宋体" w:hAnsi="宋体" w:cs="宋体"/>
          <w:sz w:val="30"/>
          <w:szCs w:val="30"/>
          <w:highlight w:val="none"/>
        </w:rPr>
        <w:t>告</w:t>
      </w:r>
      <w:r>
        <w:rPr>
          <w:rFonts w:ascii="Times New Roman" w:hAnsi="Times New Roman" w:eastAsia="仿宋_GB2312" w:cs="Times New Roman"/>
          <w:sz w:val="30"/>
          <w:szCs w:val="30"/>
          <w:highlight w:val="none"/>
        </w:rPr>
        <w:t>加1分每次，参加国际学术会议并做报</w:t>
      </w:r>
      <w:r>
        <w:rPr>
          <w:rFonts w:hint="eastAsia" w:ascii="宋体" w:hAnsi="宋体" w:cs="宋体"/>
          <w:sz w:val="30"/>
          <w:szCs w:val="30"/>
          <w:highlight w:val="none"/>
        </w:rPr>
        <w:t>告</w:t>
      </w:r>
      <w:r>
        <w:rPr>
          <w:rFonts w:hint="eastAsia" w:ascii="Times New Roman" w:hAnsi="Times New Roman" w:eastAsia="仿宋_GB2312" w:cs="Times New Roman"/>
          <w:sz w:val="30"/>
          <w:szCs w:val="30"/>
          <w:highlight w:val="none"/>
        </w:rPr>
        <w:t>加</w:t>
      </w:r>
      <w:r>
        <w:rPr>
          <w:rFonts w:ascii="Times New Roman" w:hAnsi="Times New Roman" w:eastAsia="仿宋_GB2312" w:cs="Times New Roman"/>
          <w:sz w:val="30"/>
          <w:szCs w:val="30"/>
          <w:highlight w:val="none"/>
        </w:rPr>
        <w:t>2</w:t>
      </w:r>
      <w:r>
        <w:rPr>
          <w:rFonts w:ascii="Times New Roman" w:hAnsi="Times New Roman" w:cs="Times New Roman"/>
          <w:sz w:val="30"/>
          <w:szCs w:val="30"/>
          <w:highlight w:val="none"/>
        </w:rPr>
        <w:t>分每次。</w:t>
      </w:r>
    </w:p>
    <w:p w14:paraId="7BE5CEDD">
      <w:pPr>
        <w:ind w:firstLine="600" w:firstLineChars="200"/>
        <w:outlineLvl w:val="1"/>
        <w:rPr>
          <w:rFonts w:ascii="Times New Roman" w:hAnsi="Times New Roman" w:eastAsia="楷体_GB2312" w:cs="Times New Roman"/>
          <w:sz w:val="30"/>
          <w:szCs w:val="30"/>
          <w:highlight w:val="none"/>
        </w:rPr>
      </w:pPr>
      <w:r>
        <w:rPr>
          <w:rFonts w:ascii="Times New Roman" w:hAnsi="Times New Roman" w:eastAsia="楷体_GB2312" w:cs="Times New Roman"/>
          <w:sz w:val="30"/>
          <w:szCs w:val="30"/>
          <w:highlight w:val="none"/>
        </w:rPr>
        <w:t>（二）一年级硕士研究生</w:t>
      </w:r>
    </w:p>
    <w:p w14:paraId="62688FCE">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核算成绩=学业成绩+科研成绩+附加分。</w:t>
      </w:r>
    </w:p>
    <w:p w14:paraId="2D955E71">
      <w:pPr>
        <w:widowControl/>
        <w:shd w:val="clear" w:color="auto" w:fill="FFFFFF"/>
        <w:ind w:firstLine="600" w:firstLineChars="200"/>
        <w:outlineLvl w:val="2"/>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1.学业成绩（满分为40分）</w:t>
      </w:r>
    </w:p>
    <w:p w14:paraId="699BA9CB">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 xml:space="preserve">学业成绩=本科阶段加权学分成绩×40% </w:t>
      </w:r>
    </w:p>
    <w:p w14:paraId="72648424">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由申请人本科时所就读院校的校级教务管理部门开具申请人学分成绩证明。证明材料必须为原件（即须加盖出具证明单位的红色印章）。</w:t>
      </w:r>
    </w:p>
    <w:p w14:paraId="22A08C5B">
      <w:pPr>
        <w:widowControl/>
        <w:shd w:val="clear" w:color="auto" w:fill="FFFFFF"/>
        <w:ind w:firstLine="600" w:firstLineChars="200"/>
        <w:outlineLvl w:val="2"/>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2.科研业绩（满分为60分）</w:t>
      </w:r>
    </w:p>
    <w:p w14:paraId="4D21CE2D">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申请人所提交申请材料的认定时间范围为申请人本科就读期间，文章要求申请人指导教师为通讯作者之一，所就读学校为第一署名单位，获批专利权人须为本科生阶段就读学校的国家发明专利者，申请人所提交的申请材料必须与申请人研究方向一致。</w:t>
      </w:r>
    </w:p>
    <w:p w14:paraId="18C00F3E">
      <w:pPr>
        <w:widowControl/>
        <w:shd w:val="clear" w:color="auto" w:fill="FFFFFF"/>
        <w:ind w:firstLine="600" w:firstLineChars="200"/>
        <w:outlineLvl w:val="3"/>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（1）科研论文</w:t>
      </w:r>
    </w:p>
    <w:p w14:paraId="2D2AAD7B">
      <w:pPr>
        <w:ind w:firstLine="600" w:firstLineChars="200"/>
        <w:outlineLvl w:val="2"/>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在Nature、Science、Cell主刊以第一作者或并列第一作者全文发表学术论文者，在满足基本申请条件和参评资格要求时，直接评定为申请当年的国家奖学金获得者。</w:t>
      </w:r>
    </w:p>
    <w:p w14:paraId="1F139232">
      <w:pPr>
        <w:widowControl/>
        <w:shd w:val="clear" w:color="auto" w:fill="FFFFFF"/>
        <w:ind w:firstLine="600" w:firstLineChars="200"/>
        <w:outlineLvl w:val="3"/>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科研论文加分细则：</w:t>
      </w:r>
    </w:p>
    <w:tbl>
      <w:tblPr>
        <w:tblStyle w:val="11"/>
        <w:tblpPr w:leftFromText="180" w:rightFromText="180" w:vertAnchor="text" w:horzAnchor="margin" w:tblpY="577"/>
        <w:tblW w:w="971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53"/>
        <w:gridCol w:w="3642"/>
        <w:gridCol w:w="4220"/>
      </w:tblGrid>
      <w:tr w14:paraId="62D93E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2" w:hRule="atLeast"/>
        </w:trPr>
        <w:tc>
          <w:tcPr>
            <w:tcW w:w="1853" w:type="dxa"/>
            <w:vAlign w:val="center"/>
          </w:tcPr>
          <w:p w14:paraId="11A529CE">
            <w:pPr>
              <w:widowControl/>
              <w:tabs>
                <w:tab w:val="left" w:pos="0"/>
              </w:tabs>
              <w:jc w:val="center"/>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发表刊物</w:t>
            </w:r>
          </w:p>
        </w:tc>
        <w:tc>
          <w:tcPr>
            <w:tcW w:w="3642" w:type="dxa"/>
            <w:vAlign w:val="center"/>
          </w:tcPr>
          <w:p w14:paraId="0D5654E8">
            <w:pPr>
              <w:widowControl/>
              <w:tabs>
                <w:tab w:val="left" w:pos="0"/>
              </w:tabs>
              <w:jc w:val="center"/>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第一作者得分</w:t>
            </w:r>
          </w:p>
        </w:tc>
        <w:tc>
          <w:tcPr>
            <w:tcW w:w="4220" w:type="dxa"/>
            <w:vAlign w:val="center"/>
          </w:tcPr>
          <w:p w14:paraId="37B02DA7">
            <w:pPr>
              <w:widowControl/>
              <w:tabs>
                <w:tab w:val="left" w:pos="0"/>
              </w:tabs>
              <w:jc w:val="center"/>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材料认定说明</w:t>
            </w:r>
          </w:p>
        </w:tc>
      </w:tr>
      <w:tr w14:paraId="43CD1B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056" w:hRule="atLeast"/>
        </w:trPr>
        <w:tc>
          <w:tcPr>
            <w:tcW w:w="1853" w:type="dxa"/>
            <w:vMerge w:val="restart"/>
            <w:vAlign w:val="center"/>
          </w:tcPr>
          <w:p w14:paraId="68023E96">
            <w:pPr>
              <w:widowControl/>
              <w:shd w:val="clear" w:color="auto" w:fill="FFFFFF"/>
              <w:spacing w:line="360" w:lineRule="auto"/>
              <w:jc w:val="center"/>
              <w:rPr>
                <w:rFonts w:hint="default" w:ascii="Times New Roman" w:hAnsi="Times New Roman" w:cs="Times New Roman" w:eastAsiaTheme="minorEastAsia"/>
                <w:sz w:val="24"/>
                <w:szCs w:val="28"/>
                <w:highlight w:val="none"/>
                <w:lang w:val="en-US" w:eastAsia="zh-CN"/>
              </w:rPr>
            </w:pPr>
            <w:r>
              <w:rPr>
                <w:rFonts w:hint="eastAsia" w:ascii="Times New Roman" w:hAnsi="Times New Roman" w:cs="Times New Roman" w:eastAsiaTheme="minorEastAsia"/>
                <w:sz w:val="24"/>
                <w:szCs w:val="28"/>
                <w:highlight w:val="none"/>
                <w:lang w:val="en-US" w:eastAsia="zh-CN"/>
              </w:rPr>
              <w:t>SCI论文</w:t>
            </w:r>
          </w:p>
        </w:tc>
        <w:tc>
          <w:tcPr>
            <w:tcW w:w="3642" w:type="dxa"/>
            <w:vAlign w:val="center"/>
          </w:tcPr>
          <w:p w14:paraId="4BA6452F">
            <w:pPr>
              <w:widowControl/>
              <w:shd w:val="clear" w:color="auto" w:fill="FFFFFF"/>
              <w:spacing w:line="360" w:lineRule="auto"/>
              <w:jc w:val="center"/>
              <w:rPr>
                <w:rFonts w:ascii="Times New Roman" w:hAnsi="Times New Roman" w:cs="Times New Roman" w:eastAsiaTheme="minorEastAsia"/>
                <w:sz w:val="24"/>
                <w:szCs w:val="28"/>
                <w:highlight w:val="none"/>
              </w:rPr>
            </w:pPr>
            <w:r>
              <w:rPr>
                <w:rFonts w:hint="eastAsia" w:ascii="Times New Roman" w:hAnsi="Times New Roman" w:eastAsia="仿宋" w:cs="仿宋"/>
                <w:bCs/>
                <w:color w:val="auto"/>
                <w:kern w:val="15"/>
                <w:sz w:val="24"/>
                <w:szCs w:val="24"/>
                <w:highlight w:val="none"/>
                <w:lang w:val="en-US" w:eastAsia="zh-CN"/>
              </w:rPr>
              <w:t>中科院一区（大类）期刊论文加40分，其中学校认定为G1期刊的额外加20分，学校认定为原G2期刊的额外加10分</w:t>
            </w:r>
          </w:p>
        </w:tc>
        <w:tc>
          <w:tcPr>
            <w:tcW w:w="4220" w:type="dxa"/>
            <w:vMerge w:val="restart"/>
          </w:tcPr>
          <w:p w14:paraId="75B653A3">
            <w:pPr>
              <w:widowControl/>
              <w:shd w:val="clear" w:color="auto" w:fill="FFFFFF"/>
              <w:spacing w:line="360" w:lineRule="auto"/>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1.</w:t>
            </w:r>
            <w:r>
              <w:rPr>
                <w:rFonts w:hint="eastAsia" w:ascii="Times New Roman" w:hAnsi="Times New Roman" w:cs="Times New Roman" w:eastAsiaTheme="minorEastAsia"/>
                <w:sz w:val="24"/>
                <w:szCs w:val="28"/>
                <w:highlight w:val="none"/>
              </w:rPr>
              <w:t>科研论文认定范围为：</w:t>
            </w:r>
            <w:r>
              <w:rPr>
                <w:rFonts w:hint="eastAsia" w:ascii="Times New Roman" w:hAnsi="Times New Roman" w:cs="Times New Roman" w:eastAsiaTheme="minorEastAsia"/>
                <w:sz w:val="24"/>
                <w:szCs w:val="28"/>
                <w:highlight w:val="none"/>
                <w:lang w:val="en-US" w:eastAsia="zh-CN"/>
              </w:rPr>
              <w:t>中科院大类一区、中科院大类二区、中科院大类三区、中科院大类四区SCI等SCI收录论文</w:t>
            </w:r>
            <w:r>
              <w:rPr>
                <w:rFonts w:hint="eastAsia" w:ascii="Times New Roman" w:hAnsi="Times New Roman" w:cs="Times New Roman" w:eastAsiaTheme="minorEastAsia"/>
                <w:sz w:val="24"/>
                <w:szCs w:val="28"/>
                <w:highlight w:val="none"/>
              </w:rPr>
              <w:t>、G1、</w:t>
            </w:r>
            <w:r>
              <w:rPr>
                <w:rFonts w:hint="eastAsia" w:ascii="Times New Roman" w:hAnsi="Times New Roman" w:cs="Times New Roman" w:eastAsiaTheme="minorEastAsia"/>
                <w:sz w:val="24"/>
                <w:szCs w:val="28"/>
                <w:highlight w:val="none"/>
                <w:lang w:val="en-US" w:eastAsia="zh-CN"/>
              </w:rPr>
              <w:t>原</w:t>
            </w:r>
            <w:r>
              <w:rPr>
                <w:rFonts w:hint="eastAsia" w:ascii="Times New Roman" w:hAnsi="Times New Roman" w:cs="Times New Roman" w:eastAsiaTheme="minorEastAsia"/>
                <w:sz w:val="24"/>
                <w:szCs w:val="28"/>
                <w:highlight w:val="none"/>
              </w:rPr>
              <w:t>G2、EI</w:t>
            </w:r>
            <w:r>
              <w:rPr>
                <w:rFonts w:hint="eastAsia" w:ascii="Times New Roman" w:hAnsi="Times New Roman" w:cs="Times New Roman" w:eastAsiaTheme="minorEastAsia"/>
                <w:sz w:val="24"/>
                <w:szCs w:val="28"/>
                <w:highlight w:val="none"/>
                <w:lang w:eastAsia="zh-CN"/>
              </w:rPr>
              <w:t>、</w:t>
            </w:r>
            <w:r>
              <w:rPr>
                <w:rFonts w:hint="eastAsia" w:ascii="Times New Roman" w:hAnsi="Times New Roman" w:cs="Times New Roman" w:eastAsiaTheme="minorEastAsia"/>
                <w:sz w:val="24"/>
                <w:szCs w:val="28"/>
                <w:highlight w:val="none"/>
                <w:lang w:val="en-US" w:eastAsia="zh-CN"/>
              </w:rPr>
              <w:t>中文核心期刊论文</w:t>
            </w:r>
            <w:r>
              <w:rPr>
                <w:rFonts w:ascii="Times New Roman" w:hAnsi="Times New Roman" w:cs="Times New Roman" w:eastAsiaTheme="minorEastAsia"/>
                <w:sz w:val="24"/>
                <w:szCs w:val="28"/>
                <w:highlight w:val="none"/>
              </w:rPr>
              <w:t>。</w:t>
            </w:r>
          </w:p>
          <w:p w14:paraId="7918DD03">
            <w:pPr>
              <w:widowControl/>
              <w:shd w:val="clear" w:color="auto" w:fill="FFFFFF"/>
              <w:spacing w:line="360" w:lineRule="auto"/>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其中，G1期刊论文要求申请人须为论文前六位作者；SCI收录论文要求申请人须为论文前四位作者；EI及其他论文要求申请人须为论文第一作者。</w:t>
            </w:r>
          </w:p>
          <w:p w14:paraId="136764A8">
            <w:pPr>
              <w:widowControl/>
              <w:shd w:val="clear" w:color="auto" w:fill="FFFFFF"/>
              <w:spacing w:line="360" w:lineRule="auto"/>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2.科研论文需正式发表或可网上在线（online）查询，</w:t>
            </w:r>
            <w:r>
              <w:rPr>
                <w:rFonts w:ascii="Times New Roman" w:hAnsi="Times New Roman" w:cs="Times New Roman" w:eastAsiaTheme="minorEastAsia"/>
                <w:b/>
                <w:sz w:val="24"/>
                <w:szCs w:val="28"/>
                <w:highlight w:val="none"/>
              </w:rPr>
              <w:t>需提供</w:t>
            </w:r>
            <w:r>
              <w:rPr>
                <w:rFonts w:hint="eastAsia" w:ascii="Times New Roman" w:hAnsi="Times New Roman" w:cs="Times New Roman" w:eastAsiaTheme="minorEastAsia"/>
                <w:b/>
                <w:sz w:val="24"/>
                <w:szCs w:val="28"/>
                <w:highlight w:val="none"/>
              </w:rPr>
              <w:t>图书馆</w:t>
            </w:r>
            <w:r>
              <w:rPr>
                <w:rFonts w:ascii="Times New Roman" w:hAnsi="Times New Roman" w:cs="Times New Roman" w:eastAsiaTheme="minorEastAsia"/>
                <w:b/>
                <w:sz w:val="24"/>
                <w:szCs w:val="28"/>
                <w:highlight w:val="none"/>
              </w:rPr>
              <w:t>检索证明</w:t>
            </w:r>
            <w:r>
              <w:rPr>
                <w:rFonts w:hint="eastAsia" w:ascii="Times New Roman" w:hAnsi="Times New Roman" w:cs="Times New Roman" w:eastAsiaTheme="minorEastAsia"/>
                <w:b/>
                <w:sz w:val="24"/>
                <w:szCs w:val="28"/>
                <w:highlight w:val="none"/>
              </w:rPr>
              <w:t>和</w:t>
            </w:r>
            <w:r>
              <w:rPr>
                <w:rFonts w:ascii="Times New Roman" w:hAnsi="Times New Roman" w:cs="Times New Roman" w:eastAsiaTheme="minorEastAsia"/>
                <w:b/>
                <w:sz w:val="24"/>
                <w:szCs w:val="28"/>
                <w:highlight w:val="none"/>
              </w:rPr>
              <w:t>网上在线全文打印件</w:t>
            </w:r>
            <w:r>
              <w:rPr>
                <w:rFonts w:ascii="Times New Roman" w:hAnsi="Times New Roman" w:cs="Times New Roman" w:eastAsiaTheme="minorEastAsia"/>
                <w:sz w:val="24"/>
                <w:szCs w:val="28"/>
                <w:highlight w:val="none"/>
              </w:rPr>
              <w:t>，经导师签字认定。</w:t>
            </w:r>
          </w:p>
          <w:p w14:paraId="3E9DD0ED">
            <w:pPr>
              <w:widowControl/>
              <w:shd w:val="clear" w:color="auto" w:fill="FFFFFF"/>
              <w:spacing w:line="360" w:lineRule="auto"/>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3.科研论文必须以西北农林科技大学为第一署名单位。申请人导师须为论文的通讯作者之一。</w:t>
            </w:r>
          </w:p>
          <w:p w14:paraId="26890593">
            <w:pPr>
              <w:widowControl/>
              <w:shd w:val="clear" w:color="auto" w:fill="FFFFFF"/>
              <w:spacing w:line="360" w:lineRule="auto"/>
              <w:rPr>
                <w:rFonts w:ascii="Times New Roman" w:hAnsi="Times New Roman" w:cs="Times New Roman" w:eastAsiaTheme="minorEastAsia"/>
                <w:sz w:val="24"/>
                <w:szCs w:val="28"/>
                <w:highlight w:val="none"/>
              </w:rPr>
            </w:pPr>
          </w:p>
        </w:tc>
      </w:tr>
      <w:tr w14:paraId="2D78DA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30" w:hRule="atLeast"/>
        </w:trPr>
        <w:tc>
          <w:tcPr>
            <w:tcW w:w="1853" w:type="dxa"/>
            <w:vMerge w:val="continue"/>
            <w:vAlign w:val="center"/>
          </w:tcPr>
          <w:p w14:paraId="6194B1F0">
            <w:pPr>
              <w:widowControl/>
              <w:shd w:val="clear" w:color="auto" w:fill="FFFFFF"/>
              <w:spacing w:line="360" w:lineRule="auto"/>
              <w:rPr>
                <w:rFonts w:ascii="Times New Roman" w:hAnsi="Times New Roman" w:cs="Times New Roman" w:eastAsiaTheme="minorEastAsia"/>
                <w:sz w:val="24"/>
                <w:szCs w:val="28"/>
                <w:highlight w:val="none"/>
              </w:rPr>
            </w:pPr>
          </w:p>
        </w:tc>
        <w:tc>
          <w:tcPr>
            <w:tcW w:w="3642" w:type="dxa"/>
            <w:vAlign w:val="center"/>
          </w:tcPr>
          <w:p w14:paraId="1168F854">
            <w:pPr>
              <w:widowControl/>
              <w:shd w:val="clear" w:color="auto" w:fill="FFFFFF"/>
              <w:spacing w:line="360" w:lineRule="auto"/>
              <w:jc w:val="center"/>
              <w:rPr>
                <w:rFonts w:ascii="Times New Roman" w:hAnsi="Times New Roman" w:cs="Times New Roman" w:eastAsiaTheme="minorEastAsia"/>
                <w:sz w:val="24"/>
                <w:szCs w:val="28"/>
                <w:highlight w:val="none"/>
              </w:rPr>
            </w:pPr>
            <w:r>
              <w:rPr>
                <w:rFonts w:hint="eastAsia" w:ascii="Times New Roman" w:hAnsi="Times New Roman" w:eastAsia="仿宋" w:cs="仿宋"/>
                <w:bCs/>
                <w:color w:val="auto"/>
                <w:kern w:val="15"/>
                <w:sz w:val="24"/>
                <w:szCs w:val="24"/>
                <w:highlight w:val="none"/>
                <w:lang w:val="en-US" w:eastAsia="zh-CN"/>
              </w:rPr>
              <w:t>中科院二区（大类）期刊论文加30分</w:t>
            </w:r>
          </w:p>
        </w:tc>
        <w:tc>
          <w:tcPr>
            <w:tcW w:w="4220" w:type="dxa"/>
            <w:vMerge w:val="continue"/>
          </w:tcPr>
          <w:p w14:paraId="2EE2F768">
            <w:pPr>
              <w:widowControl/>
              <w:shd w:val="clear" w:color="auto" w:fill="FFFFFF"/>
              <w:ind w:firstLine="480" w:firstLineChars="200"/>
              <w:rPr>
                <w:rFonts w:ascii="Times New Roman" w:hAnsi="Times New Roman" w:cs="Times New Roman" w:eastAsiaTheme="minorEastAsia"/>
                <w:sz w:val="24"/>
                <w:szCs w:val="28"/>
                <w:highlight w:val="none"/>
              </w:rPr>
            </w:pPr>
          </w:p>
        </w:tc>
      </w:tr>
      <w:tr w14:paraId="2F889D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30" w:hRule="atLeast"/>
        </w:trPr>
        <w:tc>
          <w:tcPr>
            <w:tcW w:w="1853" w:type="dxa"/>
            <w:vMerge w:val="continue"/>
            <w:vAlign w:val="center"/>
          </w:tcPr>
          <w:p w14:paraId="2E853D91">
            <w:pPr>
              <w:widowControl/>
              <w:shd w:val="clear" w:color="auto" w:fill="FFFFFF"/>
              <w:spacing w:line="360" w:lineRule="auto"/>
              <w:rPr>
                <w:rFonts w:ascii="Times New Roman" w:hAnsi="Times New Roman" w:cs="Times New Roman" w:eastAsiaTheme="minorEastAsia"/>
                <w:sz w:val="24"/>
                <w:szCs w:val="28"/>
                <w:highlight w:val="none"/>
              </w:rPr>
            </w:pPr>
          </w:p>
        </w:tc>
        <w:tc>
          <w:tcPr>
            <w:tcW w:w="3642" w:type="dxa"/>
            <w:vAlign w:val="center"/>
          </w:tcPr>
          <w:p w14:paraId="4FBC79FC">
            <w:pPr>
              <w:widowControl/>
              <w:shd w:val="clear" w:color="auto" w:fill="FFFFFF"/>
              <w:spacing w:line="360" w:lineRule="auto"/>
              <w:jc w:val="center"/>
              <w:rPr>
                <w:rFonts w:ascii="Times New Roman" w:hAnsi="Times New Roman" w:cs="Times New Roman" w:eastAsiaTheme="minorEastAsia"/>
                <w:sz w:val="24"/>
                <w:szCs w:val="28"/>
                <w:highlight w:val="none"/>
              </w:rPr>
            </w:pPr>
            <w:r>
              <w:rPr>
                <w:rFonts w:hint="eastAsia" w:ascii="Times New Roman" w:hAnsi="Times New Roman" w:eastAsia="仿宋" w:cs="仿宋"/>
                <w:bCs/>
                <w:color w:val="auto"/>
                <w:kern w:val="15"/>
                <w:sz w:val="24"/>
                <w:szCs w:val="24"/>
                <w:highlight w:val="none"/>
                <w:lang w:val="en-US" w:eastAsia="zh-CN"/>
              </w:rPr>
              <w:t>中科院三区（大类）期刊论文加15分</w:t>
            </w:r>
          </w:p>
        </w:tc>
        <w:tc>
          <w:tcPr>
            <w:tcW w:w="4220" w:type="dxa"/>
            <w:vMerge w:val="continue"/>
          </w:tcPr>
          <w:p w14:paraId="6DCB87D3">
            <w:pPr>
              <w:widowControl/>
              <w:shd w:val="clear" w:color="auto" w:fill="FFFFFF"/>
              <w:ind w:firstLine="480" w:firstLineChars="200"/>
              <w:rPr>
                <w:rFonts w:ascii="Times New Roman" w:hAnsi="Times New Roman" w:cs="Times New Roman" w:eastAsiaTheme="minorEastAsia"/>
                <w:sz w:val="24"/>
                <w:szCs w:val="28"/>
                <w:highlight w:val="none"/>
              </w:rPr>
            </w:pPr>
          </w:p>
        </w:tc>
      </w:tr>
      <w:tr w14:paraId="5B7D3E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30" w:hRule="atLeast"/>
        </w:trPr>
        <w:tc>
          <w:tcPr>
            <w:tcW w:w="1853" w:type="dxa"/>
            <w:vMerge w:val="continue"/>
            <w:vAlign w:val="center"/>
          </w:tcPr>
          <w:p w14:paraId="0BF90393">
            <w:pPr>
              <w:widowControl/>
              <w:shd w:val="clear" w:color="auto" w:fill="FFFFFF"/>
              <w:spacing w:line="360" w:lineRule="auto"/>
              <w:rPr>
                <w:rFonts w:ascii="Times New Roman" w:hAnsi="Times New Roman" w:cs="Times New Roman" w:eastAsiaTheme="minorEastAsia"/>
                <w:sz w:val="24"/>
                <w:szCs w:val="28"/>
                <w:highlight w:val="none"/>
              </w:rPr>
            </w:pPr>
          </w:p>
        </w:tc>
        <w:tc>
          <w:tcPr>
            <w:tcW w:w="3642" w:type="dxa"/>
            <w:vAlign w:val="center"/>
          </w:tcPr>
          <w:p w14:paraId="4E7FF5D3">
            <w:pPr>
              <w:widowControl/>
              <w:shd w:val="clear" w:color="auto" w:fill="FFFFFF"/>
              <w:spacing w:line="360" w:lineRule="auto"/>
              <w:jc w:val="center"/>
              <w:rPr>
                <w:rFonts w:ascii="Times New Roman" w:hAnsi="Times New Roman" w:cs="Times New Roman" w:eastAsiaTheme="minorEastAsia"/>
                <w:sz w:val="24"/>
                <w:szCs w:val="28"/>
                <w:highlight w:val="none"/>
              </w:rPr>
            </w:pPr>
            <w:r>
              <w:rPr>
                <w:rFonts w:hint="eastAsia" w:ascii="Times New Roman" w:hAnsi="Times New Roman" w:eastAsia="仿宋" w:cs="仿宋"/>
                <w:bCs/>
                <w:color w:val="auto"/>
                <w:kern w:val="15"/>
                <w:sz w:val="24"/>
                <w:szCs w:val="24"/>
                <w:highlight w:val="none"/>
                <w:lang w:val="en-US" w:eastAsia="zh-CN"/>
              </w:rPr>
              <w:t>中科院四区（大类）期刊论文加5分</w:t>
            </w:r>
          </w:p>
        </w:tc>
        <w:tc>
          <w:tcPr>
            <w:tcW w:w="4220" w:type="dxa"/>
            <w:vMerge w:val="continue"/>
          </w:tcPr>
          <w:p w14:paraId="217A6136">
            <w:pPr>
              <w:widowControl/>
              <w:shd w:val="clear" w:color="auto" w:fill="FFFFFF"/>
              <w:ind w:firstLine="480" w:firstLineChars="200"/>
              <w:rPr>
                <w:rFonts w:ascii="Times New Roman" w:hAnsi="Times New Roman" w:cs="Times New Roman" w:eastAsiaTheme="minorEastAsia"/>
                <w:sz w:val="24"/>
                <w:szCs w:val="28"/>
                <w:highlight w:val="none"/>
              </w:rPr>
            </w:pPr>
          </w:p>
        </w:tc>
      </w:tr>
      <w:tr w14:paraId="6B11BB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329" w:hRule="atLeast"/>
        </w:trPr>
        <w:tc>
          <w:tcPr>
            <w:tcW w:w="1853" w:type="dxa"/>
            <w:vAlign w:val="center"/>
          </w:tcPr>
          <w:p w14:paraId="573118DB">
            <w:pPr>
              <w:widowControl/>
              <w:shd w:val="clear" w:color="auto" w:fill="FFFFFF"/>
              <w:spacing w:line="360" w:lineRule="auto"/>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EI收录论文</w:t>
            </w:r>
          </w:p>
        </w:tc>
        <w:tc>
          <w:tcPr>
            <w:tcW w:w="3642" w:type="dxa"/>
            <w:vAlign w:val="center"/>
          </w:tcPr>
          <w:p w14:paraId="59528906">
            <w:pPr>
              <w:widowControl/>
              <w:shd w:val="clear" w:color="auto" w:fill="FFFFFF"/>
              <w:spacing w:line="360" w:lineRule="auto"/>
              <w:jc w:val="center"/>
              <w:rPr>
                <w:rFonts w:hint="eastAsia" w:ascii="Times New Roman" w:hAnsi="Times New Roman" w:cs="Times New Roman" w:eastAsiaTheme="minorEastAsia"/>
                <w:sz w:val="24"/>
                <w:szCs w:val="28"/>
                <w:highlight w:val="none"/>
                <w:lang w:eastAsia="zh-CN"/>
              </w:rPr>
            </w:pPr>
            <w:r>
              <w:rPr>
                <w:rFonts w:hint="eastAsia" w:ascii="Times New Roman" w:hAnsi="Times New Roman" w:cs="Times New Roman" w:eastAsiaTheme="minorEastAsia"/>
                <w:sz w:val="24"/>
                <w:szCs w:val="28"/>
                <w:highlight w:val="none"/>
                <w:lang w:val="en-US" w:eastAsia="zh-CN"/>
              </w:rPr>
              <w:t>5</w:t>
            </w:r>
          </w:p>
        </w:tc>
        <w:tc>
          <w:tcPr>
            <w:tcW w:w="4220" w:type="dxa"/>
            <w:vMerge w:val="continue"/>
          </w:tcPr>
          <w:p w14:paraId="0B4755E8">
            <w:pPr>
              <w:widowControl/>
              <w:shd w:val="clear" w:color="auto" w:fill="FFFFFF"/>
              <w:ind w:firstLine="480" w:firstLineChars="200"/>
              <w:rPr>
                <w:rFonts w:ascii="Times New Roman" w:hAnsi="Times New Roman" w:cs="Times New Roman" w:eastAsiaTheme="minorEastAsia"/>
                <w:sz w:val="24"/>
                <w:szCs w:val="28"/>
                <w:highlight w:val="none"/>
              </w:rPr>
            </w:pPr>
          </w:p>
        </w:tc>
      </w:tr>
      <w:tr w14:paraId="449D91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291" w:hRule="atLeast"/>
        </w:trPr>
        <w:tc>
          <w:tcPr>
            <w:tcW w:w="1853" w:type="dxa"/>
            <w:vAlign w:val="center"/>
          </w:tcPr>
          <w:p w14:paraId="118A14AA">
            <w:pPr>
              <w:widowControl/>
              <w:shd w:val="clear" w:color="auto" w:fill="FFFFFF"/>
              <w:spacing w:line="360" w:lineRule="auto"/>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中文核心期刊</w:t>
            </w:r>
          </w:p>
        </w:tc>
        <w:tc>
          <w:tcPr>
            <w:tcW w:w="3642" w:type="dxa"/>
            <w:vAlign w:val="center"/>
          </w:tcPr>
          <w:p w14:paraId="15A6F509">
            <w:pPr>
              <w:widowControl/>
              <w:shd w:val="clear" w:color="auto" w:fill="FFFFFF"/>
              <w:spacing w:line="360" w:lineRule="auto"/>
              <w:jc w:val="center"/>
              <w:rPr>
                <w:rFonts w:ascii="Times New Roman" w:hAnsi="Times New Roman" w:cs="Times New Roman" w:eastAsiaTheme="minorEastAsia"/>
                <w:sz w:val="24"/>
                <w:szCs w:val="28"/>
                <w:highlight w:val="none"/>
              </w:rPr>
            </w:pPr>
            <w:r>
              <w:rPr>
                <w:rFonts w:hint="eastAsia" w:ascii="Times New Roman" w:hAnsi="Times New Roman" w:cs="Times New Roman" w:eastAsiaTheme="minorEastAsia"/>
                <w:sz w:val="24"/>
                <w:szCs w:val="28"/>
                <w:highlight w:val="none"/>
              </w:rPr>
              <w:t>2</w:t>
            </w:r>
          </w:p>
        </w:tc>
        <w:tc>
          <w:tcPr>
            <w:tcW w:w="4220" w:type="dxa"/>
            <w:vMerge w:val="continue"/>
          </w:tcPr>
          <w:p w14:paraId="5C7BA827">
            <w:pPr>
              <w:widowControl/>
              <w:shd w:val="clear" w:color="auto" w:fill="FFFFFF"/>
              <w:ind w:firstLine="480" w:firstLineChars="200"/>
              <w:rPr>
                <w:rFonts w:ascii="Times New Roman" w:hAnsi="Times New Roman" w:cs="Times New Roman" w:eastAsiaTheme="minorEastAsia"/>
                <w:sz w:val="24"/>
                <w:szCs w:val="28"/>
                <w:highlight w:val="none"/>
              </w:rPr>
            </w:pPr>
          </w:p>
        </w:tc>
      </w:tr>
    </w:tbl>
    <w:p w14:paraId="1209C553">
      <w:pPr>
        <w:widowControl/>
        <w:shd w:val="clear" w:color="auto" w:fill="FFFFFF"/>
        <w:ind w:firstLine="600" w:firstLineChars="200"/>
        <w:outlineLvl w:val="3"/>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（2）获批专利</w:t>
      </w:r>
    </w:p>
    <w:tbl>
      <w:tblPr>
        <w:tblStyle w:val="10"/>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481"/>
        <w:gridCol w:w="2481"/>
        <w:gridCol w:w="1598"/>
        <w:gridCol w:w="3011"/>
      </w:tblGrid>
      <w:tr w14:paraId="68DCAB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exact"/>
          <w:jc w:val="center"/>
        </w:trPr>
        <w:tc>
          <w:tcPr>
            <w:tcW w:w="1296" w:type="pct"/>
          </w:tcPr>
          <w:p w14:paraId="5B745090">
            <w:pPr>
              <w:pStyle w:val="5"/>
              <w:spacing w:line="360" w:lineRule="auto"/>
              <w:ind w:firstLine="482"/>
              <w:outlineLvl w:val="0"/>
              <w:rPr>
                <w:rFonts w:ascii="Times New Roman" w:hAnsi="Times New Roman" w:cs="Times New Roman" w:eastAsiaTheme="minorEastAsia"/>
                <w:sz w:val="24"/>
                <w:szCs w:val="28"/>
                <w:highlight w:val="none"/>
              </w:rPr>
            </w:pPr>
          </w:p>
        </w:tc>
        <w:tc>
          <w:tcPr>
            <w:tcW w:w="1296" w:type="pct"/>
            <w:vAlign w:val="center"/>
          </w:tcPr>
          <w:p w14:paraId="51F7B262">
            <w:pPr>
              <w:pStyle w:val="5"/>
              <w:spacing w:line="360" w:lineRule="auto"/>
              <w:jc w:val="center"/>
              <w:outlineLvl w:val="0"/>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作者排名顺序</w:t>
            </w:r>
          </w:p>
        </w:tc>
        <w:tc>
          <w:tcPr>
            <w:tcW w:w="835" w:type="pct"/>
            <w:vAlign w:val="center"/>
          </w:tcPr>
          <w:p w14:paraId="1FCF6092">
            <w:pPr>
              <w:pStyle w:val="5"/>
              <w:spacing w:line="360" w:lineRule="auto"/>
              <w:jc w:val="center"/>
              <w:outlineLvl w:val="0"/>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计分标准</w:t>
            </w:r>
          </w:p>
        </w:tc>
        <w:tc>
          <w:tcPr>
            <w:tcW w:w="1573" w:type="pct"/>
            <w:vAlign w:val="center"/>
          </w:tcPr>
          <w:p w14:paraId="01DCE822">
            <w:pPr>
              <w:pStyle w:val="5"/>
              <w:spacing w:line="360" w:lineRule="auto"/>
              <w:jc w:val="center"/>
              <w:outlineLvl w:val="0"/>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计分说明</w:t>
            </w:r>
          </w:p>
        </w:tc>
      </w:tr>
      <w:tr w14:paraId="2C2382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exact"/>
          <w:jc w:val="center"/>
        </w:trPr>
        <w:tc>
          <w:tcPr>
            <w:tcW w:w="1296" w:type="pct"/>
            <w:vMerge w:val="restart"/>
            <w:vAlign w:val="center"/>
          </w:tcPr>
          <w:p w14:paraId="40B36EA3">
            <w:pPr>
              <w:pStyle w:val="5"/>
              <w:spacing w:line="360" w:lineRule="auto"/>
              <w:jc w:val="center"/>
              <w:outlineLvl w:val="0"/>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发明专利</w:t>
            </w:r>
          </w:p>
        </w:tc>
        <w:tc>
          <w:tcPr>
            <w:tcW w:w="1296" w:type="pct"/>
            <w:vAlign w:val="center"/>
          </w:tcPr>
          <w:p w14:paraId="167E42F0">
            <w:pPr>
              <w:pStyle w:val="5"/>
              <w:spacing w:line="360" w:lineRule="auto"/>
              <w:jc w:val="center"/>
              <w:outlineLvl w:val="0"/>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第一名</w:t>
            </w:r>
          </w:p>
        </w:tc>
        <w:tc>
          <w:tcPr>
            <w:tcW w:w="835" w:type="pct"/>
            <w:vAlign w:val="center"/>
          </w:tcPr>
          <w:p w14:paraId="7A08FA85">
            <w:pPr>
              <w:pStyle w:val="5"/>
              <w:spacing w:line="360" w:lineRule="auto"/>
              <w:jc w:val="center"/>
              <w:outlineLvl w:val="0"/>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3</w:t>
            </w:r>
          </w:p>
        </w:tc>
        <w:tc>
          <w:tcPr>
            <w:tcW w:w="1573" w:type="pct"/>
            <w:vMerge w:val="restart"/>
            <w:vAlign w:val="center"/>
          </w:tcPr>
          <w:p w14:paraId="59B5FB91">
            <w:pPr>
              <w:pStyle w:val="5"/>
              <w:spacing w:line="360" w:lineRule="auto"/>
              <w:outlineLvl w:val="0"/>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获批专利权人须为西北农林科技大学的国家发明专利者和实用新型专利（除导师前三作者）</w:t>
            </w:r>
          </w:p>
        </w:tc>
      </w:tr>
      <w:tr w14:paraId="650EB4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exact"/>
          <w:jc w:val="center"/>
        </w:trPr>
        <w:tc>
          <w:tcPr>
            <w:tcW w:w="1296" w:type="pct"/>
            <w:vMerge w:val="continue"/>
            <w:vAlign w:val="center"/>
          </w:tcPr>
          <w:p w14:paraId="5D3F916A">
            <w:pPr>
              <w:pStyle w:val="5"/>
              <w:spacing w:line="360" w:lineRule="auto"/>
              <w:ind w:firstLine="482"/>
              <w:jc w:val="center"/>
              <w:outlineLvl w:val="0"/>
              <w:rPr>
                <w:rFonts w:ascii="Times New Roman" w:hAnsi="Times New Roman" w:cs="Times New Roman" w:eastAsiaTheme="minorEastAsia"/>
                <w:sz w:val="24"/>
                <w:szCs w:val="28"/>
                <w:highlight w:val="none"/>
              </w:rPr>
            </w:pPr>
          </w:p>
        </w:tc>
        <w:tc>
          <w:tcPr>
            <w:tcW w:w="1296" w:type="pct"/>
            <w:vAlign w:val="center"/>
          </w:tcPr>
          <w:p w14:paraId="12CD36DA">
            <w:pPr>
              <w:pStyle w:val="5"/>
              <w:spacing w:line="360" w:lineRule="auto"/>
              <w:jc w:val="center"/>
              <w:outlineLvl w:val="0"/>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第二名</w:t>
            </w:r>
          </w:p>
        </w:tc>
        <w:tc>
          <w:tcPr>
            <w:tcW w:w="835" w:type="pct"/>
            <w:vAlign w:val="center"/>
          </w:tcPr>
          <w:p w14:paraId="57F1BEF2">
            <w:pPr>
              <w:pStyle w:val="5"/>
              <w:spacing w:line="360" w:lineRule="auto"/>
              <w:jc w:val="center"/>
              <w:outlineLvl w:val="0"/>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2</w:t>
            </w:r>
          </w:p>
        </w:tc>
        <w:tc>
          <w:tcPr>
            <w:tcW w:w="1573" w:type="pct"/>
            <w:vMerge w:val="continue"/>
          </w:tcPr>
          <w:p w14:paraId="0D460E69">
            <w:pPr>
              <w:pStyle w:val="5"/>
              <w:spacing w:line="360" w:lineRule="auto"/>
              <w:ind w:firstLine="482"/>
              <w:outlineLvl w:val="0"/>
              <w:rPr>
                <w:rFonts w:ascii="Times New Roman" w:hAnsi="Times New Roman" w:eastAsia="黑体" w:cs="Times New Roman"/>
                <w:bCs/>
                <w:kern w:val="15"/>
                <w:sz w:val="24"/>
                <w:szCs w:val="24"/>
                <w:highlight w:val="none"/>
              </w:rPr>
            </w:pPr>
          </w:p>
        </w:tc>
      </w:tr>
      <w:tr w14:paraId="01A095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exact"/>
          <w:jc w:val="center"/>
        </w:trPr>
        <w:tc>
          <w:tcPr>
            <w:tcW w:w="1296" w:type="pct"/>
            <w:vMerge w:val="continue"/>
            <w:vAlign w:val="center"/>
          </w:tcPr>
          <w:p w14:paraId="3E9E123C">
            <w:pPr>
              <w:pStyle w:val="5"/>
              <w:spacing w:line="360" w:lineRule="auto"/>
              <w:ind w:firstLine="482"/>
              <w:jc w:val="center"/>
              <w:outlineLvl w:val="0"/>
              <w:rPr>
                <w:rFonts w:ascii="Times New Roman" w:hAnsi="Times New Roman" w:cs="Times New Roman" w:eastAsiaTheme="minorEastAsia"/>
                <w:sz w:val="24"/>
                <w:szCs w:val="28"/>
                <w:highlight w:val="none"/>
              </w:rPr>
            </w:pPr>
          </w:p>
        </w:tc>
        <w:tc>
          <w:tcPr>
            <w:tcW w:w="1296" w:type="pct"/>
            <w:vAlign w:val="center"/>
          </w:tcPr>
          <w:p w14:paraId="676F0801">
            <w:pPr>
              <w:pStyle w:val="5"/>
              <w:spacing w:line="360" w:lineRule="auto"/>
              <w:jc w:val="center"/>
              <w:outlineLvl w:val="0"/>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第三名</w:t>
            </w:r>
          </w:p>
        </w:tc>
        <w:tc>
          <w:tcPr>
            <w:tcW w:w="835" w:type="pct"/>
            <w:vAlign w:val="center"/>
          </w:tcPr>
          <w:p w14:paraId="45E7BFFE">
            <w:pPr>
              <w:pStyle w:val="5"/>
              <w:spacing w:line="360" w:lineRule="auto"/>
              <w:jc w:val="center"/>
              <w:outlineLvl w:val="0"/>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1</w:t>
            </w:r>
          </w:p>
        </w:tc>
        <w:tc>
          <w:tcPr>
            <w:tcW w:w="1573" w:type="pct"/>
            <w:vMerge w:val="continue"/>
          </w:tcPr>
          <w:p w14:paraId="045CF8DC">
            <w:pPr>
              <w:pStyle w:val="5"/>
              <w:spacing w:line="360" w:lineRule="auto"/>
              <w:ind w:firstLine="482"/>
              <w:outlineLvl w:val="0"/>
              <w:rPr>
                <w:rFonts w:ascii="Times New Roman" w:hAnsi="Times New Roman" w:eastAsia="黑体" w:cs="Times New Roman"/>
                <w:bCs/>
                <w:kern w:val="15"/>
                <w:sz w:val="24"/>
                <w:szCs w:val="24"/>
                <w:highlight w:val="none"/>
              </w:rPr>
            </w:pPr>
          </w:p>
        </w:tc>
      </w:tr>
      <w:tr w14:paraId="4731D0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exact"/>
          <w:jc w:val="center"/>
        </w:trPr>
        <w:tc>
          <w:tcPr>
            <w:tcW w:w="1296" w:type="pct"/>
            <w:vMerge w:val="restart"/>
            <w:vAlign w:val="center"/>
          </w:tcPr>
          <w:p w14:paraId="6673B95F">
            <w:pPr>
              <w:pStyle w:val="5"/>
              <w:spacing w:line="360" w:lineRule="auto"/>
              <w:jc w:val="center"/>
              <w:outlineLvl w:val="0"/>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实用新型专利</w:t>
            </w:r>
          </w:p>
        </w:tc>
        <w:tc>
          <w:tcPr>
            <w:tcW w:w="1296" w:type="pct"/>
            <w:vAlign w:val="center"/>
          </w:tcPr>
          <w:p w14:paraId="05335C66">
            <w:pPr>
              <w:pStyle w:val="5"/>
              <w:spacing w:line="360" w:lineRule="auto"/>
              <w:jc w:val="center"/>
              <w:outlineLvl w:val="0"/>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第一名</w:t>
            </w:r>
          </w:p>
        </w:tc>
        <w:tc>
          <w:tcPr>
            <w:tcW w:w="835" w:type="pct"/>
            <w:vAlign w:val="center"/>
          </w:tcPr>
          <w:p w14:paraId="07AD5278">
            <w:pPr>
              <w:pStyle w:val="5"/>
              <w:spacing w:line="360" w:lineRule="auto"/>
              <w:jc w:val="center"/>
              <w:outlineLvl w:val="0"/>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1.5</w:t>
            </w:r>
          </w:p>
        </w:tc>
        <w:tc>
          <w:tcPr>
            <w:tcW w:w="1573" w:type="pct"/>
            <w:vMerge w:val="continue"/>
          </w:tcPr>
          <w:p w14:paraId="39665FE1">
            <w:pPr>
              <w:pStyle w:val="5"/>
              <w:spacing w:line="360" w:lineRule="auto"/>
              <w:ind w:firstLine="482"/>
              <w:outlineLvl w:val="0"/>
              <w:rPr>
                <w:rFonts w:ascii="Times New Roman" w:hAnsi="Times New Roman" w:eastAsia="黑体" w:cs="Times New Roman"/>
                <w:bCs/>
                <w:kern w:val="15"/>
                <w:sz w:val="24"/>
                <w:szCs w:val="24"/>
                <w:highlight w:val="none"/>
              </w:rPr>
            </w:pPr>
          </w:p>
        </w:tc>
      </w:tr>
      <w:tr w14:paraId="1C4544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exact"/>
          <w:jc w:val="center"/>
        </w:trPr>
        <w:tc>
          <w:tcPr>
            <w:tcW w:w="1296" w:type="pct"/>
            <w:vMerge w:val="continue"/>
          </w:tcPr>
          <w:p w14:paraId="71AEA849">
            <w:pPr>
              <w:pStyle w:val="5"/>
              <w:spacing w:line="360" w:lineRule="auto"/>
              <w:ind w:firstLine="482"/>
              <w:jc w:val="center"/>
              <w:outlineLvl w:val="0"/>
              <w:rPr>
                <w:rFonts w:ascii="Times New Roman" w:hAnsi="Times New Roman" w:cs="Times New Roman" w:eastAsiaTheme="minorEastAsia"/>
                <w:sz w:val="24"/>
                <w:szCs w:val="28"/>
                <w:highlight w:val="none"/>
              </w:rPr>
            </w:pPr>
          </w:p>
        </w:tc>
        <w:tc>
          <w:tcPr>
            <w:tcW w:w="1296" w:type="pct"/>
            <w:vAlign w:val="center"/>
          </w:tcPr>
          <w:p w14:paraId="7CF35DD2">
            <w:pPr>
              <w:pStyle w:val="5"/>
              <w:spacing w:line="360" w:lineRule="auto"/>
              <w:jc w:val="center"/>
              <w:outlineLvl w:val="0"/>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第二名</w:t>
            </w:r>
          </w:p>
        </w:tc>
        <w:tc>
          <w:tcPr>
            <w:tcW w:w="835" w:type="pct"/>
            <w:vAlign w:val="center"/>
          </w:tcPr>
          <w:p w14:paraId="4C97E466">
            <w:pPr>
              <w:pStyle w:val="5"/>
              <w:spacing w:line="360" w:lineRule="auto"/>
              <w:jc w:val="center"/>
              <w:outlineLvl w:val="0"/>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1</w:t>
            </w:r>
          </w:p>
        </w:tc>
        <w:tc>
          <w:tcPr>
            <w:tcW w:w="1573" w:type="pct"/>
            <w:vMerge w:val="continue"/>
          </w:tcPr>
          <w:p w14:paraId="090539F7">
            <w:pPr>
              <w:pStyle w:val="5"/>
              <w:spacing w:line="360" w:lineRule="auto"/>
              <w:ind w:firstLine="482"/>
              <w:outlineLvl w:val="0"/>
              <w:rPr>
                <w:rFonts w:ascii="Times New Roman" w:hAnsi="Times New Roman" w:eastAsia="黑体" w:cs="Times New Roman"/>
                <w:bCs/>
                <w:kern w:val="15"/>
                <w:sz w:val="24"/>
                <w:szCs w:val="24"/>
                <w:highlight w:val="none"/>
              </w:rPr>
            </w:pPr>
          </w:p>
        </w:tc>
      </w:tr>
      <w:tr w14:paraId="0E3828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exact"/>
          <w:jc w:val="center"/>
        </w:trPr>
        <w:tc>
          <w:tcPr>
            <w:tcW w:w="1296" w:type="pct"/>
            <w:vMerge w:val="continue"/>
          </w:tcPr>
          <w:p w14:paraId="7DA3A4DF">
            <w:pPr>
              <w:pStyle w:val="5"/>
              <w:spacing w:line="360" w:lineRule="auto"/>
              <w:ind w:firstLine="482"/>
              <w:jc w:val="center"/>
              <w:outlineLvl w:val="0"/>
              <w:rPr>
                <w:rFonts w:ascii="Times New Roman" w:hAnsi="Times New Roman" w:cs="Times New Roman" w:eastAsiaTheme="minorEastAsia"/>
                <w:sz w:val="24"/>
                <w:szCs w:val="28"/>
                <w:highlight w:val="none"/>
              </w:rPr>
            </w:pPr>
          </w:p>
        </w:tc>
        <w:tc>
          <w:tcPr>
            <w:tcW w:w="1296" w:type="pct"/>
            <w:vAlign w:val="center"/>
          </w:tcPr>
          <w:p w14:paraId="7F45A5AA">
            <w:pPr>
              <w:pStyle w:val="5"/>
              <w:spacing w:line="360" w:lineRule="auto"/>
              <w:jc w:val="center"/>
              <w:outlineLvl w:val="0"/>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第三名</w:t>
            </w:r>
          </w:p>
        </w:tc>
        <w:tc>
          <w:tcPr>
            <w:tcW w:w="835" w:type="pct"/>
            <w:vAlign w:val="center"/>
          </w:tcPr>
          <w:p w14:paraId="55759A05">
            <w:pPr>
              <w:pStyle w:val="5"/>
              <w:spacing w:line="360" w:lineRule="auto"/>
              <w:jc w:val="center"/>
              <w:outlineLvl w:val="0"/>
              <w:rPr>
                <w:rFonts w:ascii="Times New Roman" w:hAnsi="Times New Roman" w:cs="Times New Roman" w:eastAsiaTheme="minorEastAsia"/>
                <w:sz w:val="24"/>
                <w:szCs w:val="28"/>
                <w:highlight w:val="none"/>
              </w:rPr>
            </w:pPr>
            <w:r>
              <w:rPr>
                <w:rFonts w:ascii="Times New Roman" w:hAnsi="Times New Roman" w:cs="Times New Roman" w:eastAsiaTheme="minorEastAsia"/>
                <w:sz w:val="24"/>
                <w:szCs w:val="28"/>
                <w:highlight w:val="none"/>
              </w:rPr>
              <w:t>0.5</w:t>
            </w:r>
          </w:p>
        </w:tc>
        <w:tc>
          <w:tcPr>
            <w:tcW w:w="1573" w:type="pct"/>
            <w:vMerge w:val="continue"/>
          </w:tcPr>
          <w:p w14:paraId="60E90A27">
            <w:pPr>
              <w:pStyle w:val="5"/>
              <w:spacing w:line="360" w:lineRule="auto"/>
              <w:ind w:firstLine="482"/>
              <w:outlineLvl w:val="0"/>
              <w:rPr>
                <w:rFonts w:ascii="Times New Roman" w:hAnsi="Times New Roman" w:eastAsia="黑体" w:cs="Times New Roman"/>
                <w:bCs/>
                <w:kern w:val="15"/>
                <w:sz w:val="24"/>
                <w:szCs w:val="24"/>
                <w:highlight w:val="none"/>
              </w:rPr>
            </w:pPr>
          </w:p>
        </w:tc>
      </w:tr>
    </w:tbl>
    <w:p w14:paraId="17D54E8E">
      <w:pPr>
        <w:widowControl/>
        <w:shd w:val="clear" w:color="auto" w:fill="FFFFFF"/>
        <w:ind w:firstLine="600" w:firstLineChars="200"/>
        <w:outlineLvl w:val="2"/>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3.附加分</w:t>
      </w:r>
    </w:p>
    <w:p w14:paraId="2BB85325">
      <w:pPr>
        <w:spacing w:line="600" w:lineRule="exact"/>
        <w:ind w:firstLine="600" w:firstLineChars="200"/>
        <w:rPr>
          <w:rFonts w:ascii="Times New Roman" w:hAnsi="Times New Roman" w:eastAsia="楷体_GB2312" w:cs="Times New Roman"/>
          <w:b/>
          <w:sz w:val="30"/>
          <w:szCs w:val="30"/>
          <w:highlight w:val="none"/>
        </w:rPr>
      </w:pPr>
      <w:r>
        <w:rPr>
          <w:rFonts w:ascii="Times New Roman" w:hAnsi="Times New Roman" w:eastAsia="仿宋_GB2312" w:cs="Times New Roman"/>
          <w:sz w:val="30"/>
          <w:szCs w:val="30"/>
          <w:highlight w:val="none"/>
        </w:rPr>
        <w:t>（1）申请人为推荐免试攻读研究生者，加10分。</w:t>
      </w:r>
    </w:p>
    <w:p w14:paraId="4A7CCA88">
      <w:pPr>
        <w:spacing w:line="600" w:lineRule="exact"/>
        <w:ind w:firstLine="600" w:firstLineChars="200"/>
        <w:rPr>
          <w:rFonts w:ascii="Times New Roman" w:hAnsi="Times New Roman" w:eastAsia="仿宋_GB2312" w:cs="Times New Roman"/>
          <w:sz w:val="32"/>
          <w:szCs w:val="32"/>
          <w:highlight w:val="none"/>
        </w:rPr>
      </w:pPr>
      <w:r>
        <w:rPr>
          <w:rFonts w:ascii="Times New Roman" w:hAnsi="Times New Roman" w:eastAsia="仿宋_GB2312" w:cs="Times New Roman"/>
          <w:sz w:val="30"/>
          <w:szCs w:val="30"/>
          <w:highlight w:val="none"/>
        </w:rPr>
        <w:t>（2）获得国家级</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Times New Roman"/>
          <w:sz w:val="30"/>
          <w:szCs w:val="30"/>
          <w:highlight w:val="none"/>
          <w:lang w:val="en-US" w:eastAsia="zh-CN"/>
        </w:rPr>
        <w:t>省部级</w:t>
      </w:r>
      <w:bookmarkStart w:id="0" w:name="_GoBack"/>
      <w:bookmarkEnd w:id="0"/>
      <w:r>
        <w:rPr>
          <w:rFonts w:ascii="Times New Roman" w:hAnsi="Times New Roman" w:eastAsia="仿宋_GB2312" w:cs="Times New Roman"/>
          <w:sz w:val="30"/>
          <w:szCs w:val="30"/>
          <w:highlight w:val="none"/>
        </w:rPr>
        <w:t>学术科技竞赛（“挑战杯”全国大学生课外学术科技作品竞赛、“创青春”全国大学生创业计划大赛、中国“互联网+”大学生创新创业大赛等学校认定的竞赛项目）特等、一等（金奖）和二等奖（银奖），其中特等奖排序前3名，一等奖排序前2名，二等奖排序第1名者按以下标准进行加分。</w:t>
      </w:r>
    </w:p>
    <w:tbl>
      <w:tblPr>
        <w:tblStyle w:val="11"/>
        <w:tblW w:w="934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26"/>
        <w:gridCol w:w="2849"/>
        <w:gridCol w:w="2303"/>
        <w:gridCol w:w="2467"/>
      </w:tblGrid>
      <w:tr w14:paraId="306F6E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726" w:type="dxa"/>
          </w:tcPr>
          <w:p w14:paraId="19F064DA">
            <w:pPr>
              <w:widowControl/>
              <w:tabs>
                <w:tab w:val="left" w:pos="0"/>
              </w:tabs>
              <w:jc w:val="center"/>
              <w:rPr>
                <w:rFonts w:ascii="Times New Roman" w:hAnsi="Times New Roman" w:eastAsia="黑体" w:cs="Times New Roman"/>
                <w:sz w:val="28"/>
                <w:highlight w:val="none"/>
              </w:rPr>
            </w:pPr>
            <w:r>
              <w:rPr>
                <w:rFonts w:ascii="Times New Roman" w:hAnsi="Times New Roman" w:eastAsia="黑体" w:cs="Times New Roman"/>
                <w:sz w:val="28"/>
                <w:highlight w:val="none"/>
              </w:rPr>
              <w:t>获奖等级</w:t>
            </w:r>
          </w:p>
        </w:tc>
        <w:tc>
          <w:tcPr>
            <w:tcW w:w="2849" w:type="dxa"/>
          </w:tcPr>
          <w:p w14:paraId="6727C497">
            <w:pPr>
              <w:widowControl/>
              <w:tabs>
                <w:tab w:val="left" w:pos="0"/>
              </w:tabs>
              <w:jc w:val="center"/>
              <w:rPr>
                <w:rFonts w:ascii="Times New Roman" w:hAnsi="Times New Roman" w:eastAsia="黑体" w:cs="Times New Roman"/>
                <w:sz w:val="28"/>
                <w:highlight w:val="none"/>
              </w:rPr>
            </w:pPr>
            <w:r>
              <w:rPr>
                <w:rFonts w:ascii="Times New Roman" w:hAnsi="Times New Roman" w:eastAsia="黑体" w:cs="Times New Roman"/>
                <w:sz w:val="28"/>
                <w:highlight w:val="none"/>
              </w:rPr>
              <w:t>排名顺序</w:t>
            </w:r>
          </w:p>
        </w:tc>
        <w:tc>
          <w:tcPr>
            <w:tcW w:w="2303" w:type="dxa"/>
          </w:tcPr>
          <w:p w14:paraId="40AADEE2">
            <w:pPr>
              <w:widowControl/>
              <w:tabs>
                <w:tab w:val="left" w:pos="0"/>
              </w:tabs>
              <w:jc w:val="center"/>
              <w:rPr>
                <w:rFonts w:ascii="Times New Roman" w:hAnsi="Times New Roman" w:eastAsia="黑体" w:cs="Times New Roman"/>
                <w:sz w:val="28"/>
                <w:highlight w:val="none"/>
              </w:rPr>
            </w:pPr>
            <w:r>
              <w:rPr>
                <w:rFonts w:hint="eastAsia" w:ascii="Times New Roman" w:hAnsi="Times New Roman" w:eastAsia="黑体" w:cs="Times New Roman"/>
                <w:sz w:val="28"/>
                <w:highlight w:val="none"/>
                <w:lang w:val="en-US" w:eastAsia="zh-CN"/>
              </w:rPr>
              <w:t>国家级</w:t>
            </w:r>
            <w:r>
              <w:rPr>
                <w:rFonts w:ascii="Times New Roman" w:hAnsi="Times New Roman" w:eastAsia="黑体" w:cs="Times New Roman"/>
                <w:sz w:val="28"/>
                <w:highlight w:val="none"/>
              </w:rPr>
              <w:t>计分标准</w:t>
            </w:r>
          </w:p>
        </w:tc>
        <w:tc>
          <w:tcPr>
            <w:tcW w:w="2467" w:type="dxa"/>
          </w:tcPr>
          <w:p w14:paraId="63B02EFC">
            <w:pPr>
              <w:widowControl/>
              <w:tabs>
                <w:tab w:val="left" w:pos="0"/>
              </w:tabs>
              <w:jc w:val="center"/>
              <w:rPr>
                <w:rFonts w:hint="default" w:ascii="Times New Roman" w:hAnsi="Times New Roman" w:eastAsia="黑体" w:cs="Times New Roman"/>
                <w:sz w:val="28"/>
                <w:highlight w:val="none"/>
                <w:lang w:val="en-US" w:eastAsia="zh-CN"/>
              </w:rPr>
            </w:pPr>
            <w:r>
              <w:rPr>
                <w:rFonts w:hint="eastAsia" w:ascii="Times New Roman" w:hAnsi="Times New Roman" w:eastAsia="黑体" w:cs="Times New Roman"/>
                <w:sz w:val="28"/>
                <w:highlight w:val="none"/>
                <w:lang w:val="en-US" w:eastAsia="zh-CN"/>
              </w:rPr>
              <w:t>省部级计分标准</w:t>
            </w:r>
          </w:p>
        </w:tc>
      </w:tr>
      <w:tr w14:paraId="09F2E9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726" w:type="dxa"/>
            <w:vMerge w:val="restart"/>
            <w:vAlign w:val="center"/>
          </w:tcPr>
          <w:p w14:paraId="15BCDCB3">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特等奖</w:t>
            </w:r>
          </w:p>
        </w:tc>
        <w:tc>
          <w:tcPr>
            <w:tcW w:w="2849" w:type="dxa"/>
            <w:vAlign w:val="center"/>
          </w:tcPr>
          <w:p w14:paraId="5100ED4D">
            <w:pPr>
              <w:widowControl/>
              <w:jc w:val="center"/>
              <w:rPr>
                <w:rFonts w:ascii="Times New Roman" w:hAnsi="Times New Roman" w:cs="Times New Roman"/>
                <w:sz w:val="24"/>
                <w:szCs w:val="24"/>
                <w:highlight w:val="none"/>
              </w:rPr>
            </w:pPr>
            <w:r>
              <w:rPr>
                <w:rFonts w:ascii="Times New Roman" w:hAnsi="Times New Roman" w:cs="Times New Roman"/>
                <w:sz w:val="24"/>
                <w:szCs w:val="24"/>
                <w:highlight w:val="none"/>
              </w:rPr>
              <w:t>1</w:t>
            </w:r>
          </w:p>
        </w:tc>
        <w:tc>
          <w:tcPr>
            <w:tcW w:w="2303" w:type="dxa"/>
            <w:vAlign w:val="center"/>
          </w:tcPr>
          <w:p w14:paraId="6C22BBA3">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20</w:t>
            </w:r>
          </w:p>
        </w:tc>
        <w:tc>
          <w:tcPr>
            <w:tcW w:w="2467" w:type="dxa"/>
            <w:vAlign w:val="center"/>
          </w:tcPr>
          <w:p w14:paraId="4B1A3FCA">
            <w:pPr>
              <w:widowControl/>
              <w:adjustRightInd w:val="0"/>
              <w:snapToGrid w:val="0"/>
              <w:spacing w:before="100" w:beforeAutospacing="1" w:after="100" w:afterAutospacing="1"/>
              <w:contextualSpacing/>
              <w:jc w:val="center"/>
              <w:rPr>
                <w:rFonts w:hint="default" w:ascii="Times New Roman" w:hAnsi="Times New Roman" w:eastAsia="宋体" w:cs="Times New Roman"/>
                <w:sz w:val="24"/>
                <w:szCs w:val="24"/>
                <w:highlight w:val="none"/>
                <w:lang w:val="en-US" w:eastAsia="zh-CN"/>
              </w:rPr>
            </w:pPr>
            <w:r>
              <w:rPr>
                <w:rFonts w:hint="eastAsia" w:ascii="Times New Roman" w:hAnsi="Times New Roman" w:cs="Times New Roman"/>
                <w:sz w:val="24"/>
                <w:szCs w:val="24"/>
                <w:highlight w:val="none"/>
                <w:lang w:val="en-US" w:eastAsia="zh-CN"/>
              </w:rPr>
              <w:t>14</w:t>
            </w:r>
          </w:p>
        </w:tc>
      </w:tr>
      <w:tr w14:paraId="0524C5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726" w:type="dxa"/>
            <w:vMerge w:val="continue"/>
            <w:vAlign w:val="center"/>
          </w:tcPr>
          <w:p w14:paraId="68B4E58C">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p>
        </w:tc>
        <w:tc>
          <w:tcPr>
            <w:tcW w:w="2849" w:type="dxa"/>
            <w:vAlign w:val="center"/>
          </w:tcPr>
          <w:p w14:paraId="69F03B26">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2</w:t>
            </w:r>
          </w:p>
        </w:tc>
        <w:tc>
          <w:tcPr>
            <w:tcW w:w="2303" w:type="dxa"/>
            <w:vAlign w:val="center"/>
          </w:tcPr>
          <w:p w14:paraId="41082180">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10</w:t>
            </w:r>
          </w:p>
        </w:tc>
        <w:tc>
          <w:tcPr>
            <w:tcW w:w="2467" w:type="dxa"/>
            <w:vAlign w:val="center"/>
          </w:tcPr>
          <w:p w14:paraId="3FA688AE">
            <w:pPr>
              <w:widowControl/>
              <w:adjustRightInd w:val="0"/>
              <w:snapToGrid w:val="0"/>
              <w:spacing w:before="100" w:beforeAutospacing="1" w:after="100" w:afterAutospacing="1"/>
              <w:contextualSpacing/>
              <w:jc w:val="center"/>
              <w:rPr>
                <w:rFonts w:hint="eastAsia" w:ascii="Times New Roman" w:hAnsi="Times New Roman" w:eastAsia="宋体" w:cs="Times New Roman"/>
                <w:sz w:val="24"/>
                <w:szCs w:val="24"/>
                <w:highlight w:val="none"/>
                <w:lang w:val="en-US" w:eastAsia="zh-CN"/>
              </w:rPr>
            </w:pPr>
            <w:r>
              <w:rPr>
                <w:rFonts w:hint="eastAsia" w:ascii="Times New Roman" w:hAnsi="Times New Roman" w:cs="Times New Roman"/>
                <w:sz w:val="24"/>
                <w:szCs w:val="24"/>
                <w:highlight w:val="none"/>
                <w:lang w:val="en-US" w:eastAsia="zh-CN"/>
              </w:rPr>
              <w:t>7</w:t>
            </w:r>
          </w:p>
        </w:tc>
      </w:tr>
      <w:tr w14:paraId="05FB18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726" w:type="dxa"/>
            <w:vMerge w:val="continue"/>
            <w:vAlign w:val="center"/>
          </w:tcPr>
          <w:p w14:paraId="4747BB80">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p>
        </w:tc>
        <w:tc>
          <w:tcPr>
            <w:tcW w:w="2849" w:type="dxa"/>
            <w:vAlign w:val="center"/>
          </w:tcPr>
          <w:p w14:paraId="5CD18D39">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3</w:t>
            </w:r>
          </w:p>
        </w:tc>
        <w:tc>
          <w:tcPr>
            <w:tcW w:w="2303" w:type="dxa"/>
            <w:vAlign w:val="center"/>
          </w:tcPr>
          <w:p w14:paraId="1B2C071F">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5</w:t>
            </w:r>
          </w:p>
        </w:tc>
        <w:tc>
          <w:tcPr>
            <w:tcW w:w="2467" w:type="dxa"/>
            <w:vAlign w:val="center"/>
          </w:tcPr>
          <w:p w14:paraId="5960DCA5">
            <w:pPr>
              <w:widowControl/>
              <w:adjustRightInd w:val="0"/>
              <w:snapToGrid w:val="0"/>
              <w:spacing w:before="100" w:beforeAutospacing="1" w:after="100" w:afterAutospacing="1"/>
              <w:contextualSpacing/>
              <w:jc w:val="center"/>
              <w:rPr>
                <w:rFonts w:hint="eastAsia" w:ascii="Times New Roman" w:hAnsi="Times New Roman" w:eastAsia="宋体" w:cs="Times New Roman"/>
                <w:sz w:val="24"/>
                <w:szCs w:val="24"/>
                <w:highlight w:val="none"/>
                <w:lang w:val="en-US" w:eastAsia="zh-CN"/>
              </w:rPr>
            </w:pPr>
            <w:r>
              <w:rPr>
                <w:rFonts w:hint="eastAsia" w:ascii="Times New Roman" w:hAnsi="Times New Roman" w:cs="Times New Roman"/>
                <w:sz w:val="24"/>
                <w:szCs w:val="24"/>
                <w:highlight w:val="none"/>
                <w:lang w:val="en-US" w:eastAsia="zh-CN"/>
              </w:rPr>
              <w:t>3</w:t>
            </w:r>
          </w:p>
        </w:tc>
      </w:tr>
      <w:tr w14:paraId="0A1FE8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726" w:type="dxa"/>
            <w:vMerge w:val="restart"/>
            <w:tcBorders>
              <w:left w:val="single" w:color="auto" w:sz="4" w:space="0"/>
            </w:tcBorders>
            <w:vAlign w:val="center"/>
          </w:tcPr>
          <w:p w14:paraId="14E231D0">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一等奖（金奖）</w:t>
            </w:r>
          </w:p>
        </w:tc>
        <w:tc>
          <w:tcPr>
            <w:tcW w:w="2849" w:type="dxa"/>
            <w:vAlign w:val="center"/>
          </w:tcPr>
          <w:p w14:paraId="3720BDC1">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1</w:t>
            </w:r>
          </w:p>
        </w:tc>
        <w:tc>
          <w:tcPr>
            <w:tcW w:w="2303" w:type="dxa"/>
            <w:vAlign w:val="center"/>
          </w:tcPr>
          <w:p w14:paraId="624DCC85">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10</w:t>
            </w:r>
          </w:p>
        </w:tc>
        <w:tc>
          <w:tcPr>
            <w:tcW w:w="2467" w:type="dxa"/>
            <w:vAlign w:val="center"/>
          </w:tcPr>
          <w:p w14:paraId="4F380C73">
            <w:pPr>
              <w:widowControl/>
              <w:adjustRightInd w:val="0"/>
              <w:snapToGrid w:val="0"/>
              <w:spacing w:before="100" w:beforeAutospacing="1" w:after="100" w:afterAutospacing="1"/>
              <w:contextualSpacing/>
              <w:jc w:val="center"/>
              <w:rPr>
                <w:rFonts w:hint="eastAsia" w:ascii="Times New Roman" w:hAnsi="Times New Roman" w:eastAsia="宋体" w:cs="Times New Roman"/>
                <w:sz w:val="24"/>
                <w:szCs w:val="24"/>
                <w:highlight w:val="none"/>
                <w:lang w:val="en-US" w:eastAsia="zh-CN"/>
              </w:rPr>
            </w:pPr>
            <w:r>
              <w:rPr>
                <w:rFonts w:hint="eastAsia" w:ascii="Times New Roman" w:hAnsi="Times New Roman" w:cs="Times New Roman"/>
                <w:sz w:val="24"/>
                <w:szCs w:val="24"/>
                <w:highlight w:val="none"/>
                <w:lang w:val="en-US" w:eastAsia="zh-CN"/>
              </w:rPr>
              <w:t>7</w:t>
            </w:r>
          </w:p>
        </w:tc>
      </w:tr>
      <w:tr w14:paraId="14D6AD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726" w:type="dxa"/>
            <w:vMerge w:val="continue"/>
            <w:tcBorders>
              <w:left w:val="single" w:color="auto" w:sz="4" w:space="0"/>
            </w:tcBorders>
            <w:vAlign w:val="center"/>
          </w:tcPr>
          <w:p w14:paraId="2AE51669">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p>
        </w:tc>
        <w:tc>
          <w:tcPr>
            <w:tcW w:w="2849" w:type="dxa"/>
            <w:vAlign w:val="center"/>
          </w:tcPr>
          <w:p w14:paraId="5450DF80">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2</w:t>
            </w:r>
          </w:p>
        </w:tc>
        <w:tc>
          <w:tcPr>
            <w:tcW w:w="2303" w:type="dxa"/>
            <w:vAlign w:val="center"/>
          </w:tcPr>
          <w:p w14:paraId="7131B551">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5</w:t>
            </w:r>
          </w:p>
        </w:tc>
        <w:tc>
          <w:tcPr>
            <w:tcW w:w="2467" w:type="dxa"/>
            <w:vAlign w:val="center"/>
          </w:tcPr>
          <w:p w14:paraId="27A0DAC9">
            <w:pPr>
              <w:widowControl/>
              <w:adjustRightInd w:val="0"/>
              <w:snapToGrid w:val="0"/>
              <w:spacing w:before="100" w:beforeAutospacing="1" w:after="100" w:afterAutospacing="1"/>
              <w:contextualSpacing/>
              <w:jc w:val="center"/>
              <w:rPr>
                <w:rFonts w:hint="eastAsia" w:ascii="Times New Roman" w:hAnsi="Times New Roman" w:eastAsia="宋体" w:cs="Times New Roman"/>
                <w:sz w:val="24"/>
                <w:szCs w:val="24"/>
                <w:highlight w:val="none"/>
                <w:lang w:val="en-US" w:eastAsia="zh-CN"/>
              </w:rPr>
            </w:pPr>
            <w:r>
              <w:rPr>
                <w:rFonts w:hint="eastAsia" w:ascii="Times New Roman" w:hAnsi="Times New Roman" w:cs="Times New Roman"/>
                <w:sz w:val="24"/>
                <w:szCs w:val="24"/>
                <w:highlight w:val="none"/>
                <w:lang w:val="en-US" w:eastAsia="zh-CN"/>
              </w:rPr>
              <w:t>3</w:t>
            </w:r>
          </w:p>
        </w:tc>
      </w:tr>
      <w:tr w14:paraId="3AABBD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726" w:type="dxa"/>
            <w:tcBorders>
              <w:left w:val="single" w:color="auto" w:sz="4" w:space="0"/>
            </w:tcBorders>
            <w:vAlign w:val="center"/>
          </w:tcPr>
          <w:p w14:paraId="64EB1162">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二等奖（银奖）</w:t>
            </w:r>
          </w:p>
        </w:tc>
        <w:tc>
          <w:tcPr>
            <w:tcW w:w="2849" w:type="dxa"/>
            <w:vAlign w:val="center"/>
          </w:tcPr>
          <w:p w14:paraId="25E70B6C">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1</w:t>
            </w:r>
          </w:p>
        </w:tc>
        <w:tc>
          <w:tcPr>
            <w:tcW w:w="2303" w:type="dxa"/>
            <w:vAlign w:val="center"/>
          </w:tcPr>
          <w:p w14:paraId="4AB93034">
            <w:pPr>
              <w:widowControl/>
              <w:adjustRightInd w:val="0"/>
              <w:snapToGrid w:val="0"/>
              <w:spacing w:before="100" w:beforeAutospacing="1" w:after="100" w:afterAutospacing="1"/>
              <w:contextualSpacing/>
              <w:jc w:val="center"/>
              <w:rPr>
                <w:rFonts w:ascii="Times New Roman" w:hAnsi="Times New Roman" w:cs="Times New Roman"/>
                <w:sz w:val="24"/>
                <w:szCs w:val="24"/>
                <w:highlight w:val="none"/>
              </w:rPr>
            </w:pPr>
            <w:r>
              <w:rPr>
                <w:rFonts w:ascii="Times New Roman" w:hAnsi="Times New Roman" w:cs="Times New Roman"/>
                <w:sz w:val="24"/>
                <w:szCs w:val="24"/>
                <w:highlight w:val="none"/>
              </w:rPr>
              <w:t>5</w:t>
            </w:r>
          </w:p>
        </w:tc>
        <w:tc>
          <w:tcPr>
            <w:tcW w:w="2467" w:type="dxa"/>
            <w:vAlign w:val="center"/>
          </w:tcPr>
          <w:p w14:paraId="0CBCA172">
            <w:pPr>
              <w:widowControl/>
              <w:adjustRightInd w:val="0"/>
              <w:snapToGrid w:val="0"/>
              <w:spacing w:before="100" w:beforeAutospacing="1" w:after="100" w:afterAutospacing="1"/>
              <w:contextualSpacing/>
              <w:jc w:val="center"/>
              <w:rPr>
                <w:rFonts w:hint="eastAsia" w:ascii="Times New Roman" w:hAnsi="Times New Roman" w:eastAsia="宋体" w:cs="Times New Roman"/>
                <w:sz w:val="24"/>
                <w:szCs w:val="24"/>
                <w:highlight w:val="none"/>
                <w:lang w:val="en-US" w:eastAsia="zh-CN"/>
              </w:rPr>
            </w:pPr>
            <w:r>
              <w:rPr>
                <w:rFonts w:hint="eastAsia" w:ascii="Times New Roman" w:hAnsi="Times New Roman" w:cs="Times New Roman"/>
                <w:sz w:val="24"/>
                <w:szCs w:val="24"/>
                <w:highlight w:val="none"/>
                <w:lang w:val="en-US" w:eastAsia="zh-CN"/>
              </w:rPr>
              <w:t>3</w:t>
            </w:r>
          </w:p>
        </w:tc>
      </w:tr>
    </w:tbl>
    <w:p w14:paraId="3D96A7F5">
      <w:pPr>
        <w:ind w:firstLine="600" w:firstLineChars="200"/>
        <w:rPr>
          <w:rFonts w:ascii="Times New Roman" w:hAnsi="Times New Roman" w:eastAsia="仿宋_GB2312" w:cs="Times New Roman"/>
          <w:sz w:val="30"/>
          <w:szCs w:val="30"/>
          <w:highlight w:val="none"/>
        </w:rPr>
      </w:pPr>
      <w:r>
        <w:rPr>
          <w:rFonts w:ascii="Times New Roman" w:hAnsi="Times New Roman" w:eastAsia="楷体_GB2312" w:cs="Times New Roman"/>
          <w:sz w:val="30"/>
          <w:szCs w:val="30"/>
          <w:highlight w:val="none"/>
        </w:rPr>
        <w:t>（3）</w:t>
      </w:r>
      <w:r>
        <w:rPr>
          <w:rFonts w:ascii="Times New Roman" w:hAnsi="Times New Roman" w:eastAsia="仿宋_GB2312" w:cs="Times New Roman"/>
          <w:sz w:val="30"/>
          <w:szCs w:val="30"/>
          <w:highlight w:val="none"/>
        </w:rPr>
        <w:t>通过大学英语六级考试者加5分，参加托福、雅思、GRE考试，成绩分别达到90分（含）、6.5分（含）、310分（含）以上者，加10分。按照就高不就低的原则加分，不重复加分。</w:t>
      </w:r>
    </w:p>
    <w:p w14:paraId="18DA717D">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（4）参加国内学术会议并作报</w:t>
      </w:r>
      <w:r>
        <w:rPr>
          <w:rFonts w:ascii="Times New Roman" w:hAnsi="Times New Roman" w:cs="Times New Roman"/>
          <w:sz w:val="30"/>
          <w:szCs w:val="30"/>
          <w:highlight w:val="none"/>
        </w:rPr>
        <w:t>告</w:t>
      </w:r>
      <w:r>
        <w:rPr>
          <w:rFonts w:ascii="Times New Roman" w:hAnsi="Times New Roman" w:eastAsia="仿宋_GB2312" w:cs="Times New Roman"/>
          <w:sz w:val="30"/>
          <w:szCs w:val="30"/>
          <w:highlight w:val="none"/>
        </w:rPr>
        <w:t>加1分每次，参加国际学术会议并做报</w:t>
      </w:r>
      <w:r>
        <w:rPr>
          <w:rFonts w:ascii="Times New Roman" w:hAnsi="Times New Roman" w:cs="Times New Roman"/>
          <w:sz w:val="30"/>
          <w:szCs w:val="30"/>
          <w:highlight w:val="none"/>
        </w:rPr>
        <w:t>告</w:t>
      </w:r>
      <w:r>
        <w:rPr>
          <w:rFonts w:ascii="Times New Roman" w:hAnsi="Times New Roman" w:eastAsia="___WRD_EMBED_SUB_44" w:cs="Times New Roman"/>
          <w:sz w:val="30"/>
          <w:szCs w:val="30"/>
          <w:highlight w:val="none"/>
        </w:rPr>
        <w:t>加</w:t>
      </w:r>
      <w:r>
        <w:rPr>
          <w:rFonts w:ascii="Times New Roman" w:hAnsi="Times New Roman" w:eastAsia="仿宋_GB2312" w:cs="Times New Roman"/>
          <w:sz w:val="30"/>
          <w:szCs w:val="30"/>
          <w:highlight w:val="none"/>
        </w:rPr>
        <w:t>2</w:t>
      </w:r>
      <w:r>
        <w:rPr>
          <w:rFonts w:ascii="Times New Roman" w:hAnsi="Times New Roman" w:cs="Times New Roman"/>
          <w:sz w:val="30"/>
          <w:szCs w:val="30"/>
          <w:highlight w:val="none"/>
        </w:rPr>
        <w:t>分每次。</w:t>
      </w:r>
    </w:p>
    <w:p w14:paraId="338F85EE">
      <w:pPr>
        <w:ind w:firstLine="600" w:firstLineChars="200"/>
        <w:outlineLvl w:val="1"/>
        <w:rPr>
          <w:rFonts w:ascii="Times New Roman" w:hAnsi="Times New Roman" w:eastAsia="楷体_GB2312" w:cs="Times New Roman"/>
          <w:sz w:val="30"/>
          <w:szCs w:val="30"/>
          <w:highlight w:val="none"/>
        </w:rPr>
      </w:pPr>
      <w:r>
        <w:rPr>
          <w:rFonts w:ascii="Times New Roman" w:hAnsi="Times New Roman" w:eastAsia="楷体_GB2312" w:cs="Times New Roman"/>
          <w:sz w:val="30"/>
          <w:szCs w:val="30"/>
          <w:highlight w:val="none"/>
        </w:rPr>
        <w:t>（三）一年级博士研究生</w:t>
      </w:r>
    </w:p>
    <w:p w14:paraId="0BD1BBC0">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核算成绩=学业成绩+科研成绩+附加分。</w:t>
      </w:r>
    </w:p>
    <w:p w14:paraId="386E9D7D">
      <w:pPr>
        <w:ind w:firstLine="600" w:firstLineChars="200"/>
        <w:outlineLvl w:val="2"/>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1.学业成绩（满分为40分）</w:t>
      </w:r>
    </w:p>
    <w:p w14:paraId="482F2C1F">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学业成绩=学位课加权平均分×40%。</w:t>
      </w:r>
    </w:p>
    <w:p w14:paraId="2C344C32">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由申请人硕士研究生时所就读院校的研究生院或校级教务管理部门开具申请人学分成绩证明。证明材料必须为成绩单原件（即须加盖出具证明单位的红色印章）。</w:t>
      </w:r>
    </w:p>
    <w:p w14:paraId="608FD7D3">
      <w:pPr>
        <w:ind w:firstLine="600" w:firstLineChars="200"/>
        <w:outlineLvl w:val="2"/>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2.科研业绩（满分为60分）</w:t>
      </w:r>
    </w:p>
    <w:p w14:paraId="5CF094A3">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参照高年级博士研究生的评审指标体系执行。</w:t>
      </w:r>
    </w:p>
    <w:p w14:paraId="770239B1">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 xml:space="preserve">其中，申请人所提交申请材料的认定时间范围为申请人硕士研究生就读期间，文章要求申请人导师为通讯作者之一，所就读学校为第一署名单位，获批专利权人须为硕士研究生阶段就读学校的国家发明专利者，申请人所提交的申请材料必须与申请人研究方向一致。  </w:t>
      </w:r>
    </w:p>
    <w:p w14:paraId="118FBEDB">
      <w:pPr>
        <w:ind w:firstLine="600" w:firstLineChars="200"/>
        <w:outlineLvl w:val="2"/>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3.附加分</w:t>
      </w:r>
    </w:p>
    <w:p w14:paraId="641D11F6">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参照高年级博士研究生的评审指标体系执行。</w:t>
      </w:r>
    </w:p>
    <w:p w14:paraId="0EC70A18">
      <w:pPr>
        <w:ind w:firstLine="600" w:firstLineChars="200"/>
        <w:outlineLvl w:val="0"/>
        <w:rPr>
          <w:rFonts w:ascii="Times New Roman" w:hAnsi="Times New Roman" w:eastAsia="黑体" w:cs="Times New Roman"/>
          <w:sz w:val="30"/>
          <w:szCs w:val="30"/>
          <w:highlight w:val="none"/>
        </w:rPr>
      </w:pPr>
      <w:r>
        <w:rPr>
          <w:rFonts w:ascii="Times New Roman" w:hAnsi="Times New Roman" w:eastAsia="黑体" w:cs="Times New Roman"/>
          <w:sz w:val="30"/>
          <w:szCs w:val="30"/>
          <w:highlight w:val="none"/>
        </w:rPr>
        <w:t>五、评审程序</w:t>
      </w:r>
    </w:p>
    <w:p w14:paraId="04C54410">
      <w:pPr>
        <w:ind w:firstLine="600" w:firstLineChars="200"/>
        <w:outlineLvl w:val="1"/>
        <w:rPr>
          <w:rFonts w:ascii="Times New Roman" w:hAnsi="Times New Roman" w:eastAsia="楷体_GB2312" w:cs="Times New Roman"/>
          <w:sz w:val="30"/>
          <w:szCs w:val="30"/>
          <w:highlight w:val="none"/>
        </w:rPr>
      </w:pPr>
      <w:r>
        <w:rPr>
          <w:rFonts w:ascii="Times New Roman" w:hAnsi="Times New Roman" w:eastAsia="楷体_GB2312" w:cs="Times New Roman"/>
          <w:sz w:val="30"/>
          <w:szCs w:val="30"/>
          <w:highlight w:val="none"/>
        </w:rPr>
        <w:t>（一）本人申请</w:t>
      </w:r>
    </w:p>
    <w:p w14:paraId="5A67CC2C">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申请者需如实填写《生命科学学院研究生各类奖助学金评定打分表》并提供有关证明材料，经导师签署意见后向学院提出申请。</w:t>
      </w:r>
    </w:p>
    <w:p w14:paraId="1F00B3CC">
      <w:pPr>
        <w:ind w:firstLine="600" w:firstLineChars="200"/>
        <w:outlineLvl w:val="1"/>
        <w:rPr>
          <w:rFonts w:ascii="Times New Roman" w:hAnsi="Times New Roman" w:eastAsia="楷体_GB2312" w:cs="Times New Roman"/>
          <w:sz w:val="30"/>
          <w:szCs w:val="30"/>
          <w:highlight w:val="none"/>
        </w:rPr>
      </w:pPr>
      <w:r>
        <w:rPr>
          <w:rFonts w:ascii="Times New Roman" w:hAnsi="Times New Roman" w:eastAsia="楷体_GB2312" w:cs="Times New Roman"/>
          <w:sz w:val="30"/>
          <w:szCs w:val="30"/>
          <w:highlight w:val="none"/>
        </w:rPr>
        <w:t>（二）材料审核、认定与成绩核算</w:t>
      </w:r>
    </w:p>
    <w:p w14:paraId="0AFA43EB">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1.学院组织导师代表、学生代表及工作人员对学生提交的材料进行审核与认定（学习成绩由学院研究生秘书负责审核与认定；论文发表情况、发明专利由导师代表审核与认定；思想政治品德相关内容由学院研究生辅导员与学生代表负责审核与认定）。</w:t>
      </w:r>
    </w:p>
    <w:p w14:paraId="13FD7358">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2.学院评审工作领导小组根据评定指标体系和评分标准核算成绩。</w:t>
      </w:r>
    </w:p>
    <w:p w14:paraId="07D0118A">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3.根据核算成绩的高低顺序对申请人按照（1）一年级硕士研究生，（2）高年级学术型硕士研究生，（3）高年级专业型硕士研究生，（4）一年级博士研究生，（5）高年级博士研究生等五个类别进行排序。</w:t>
      </w:r>
    </w:p>
    <w:p w14:paraId="4EDB93E8">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4.按照每个类别指标数200%的比例确定答辩对象，其中每个学科点在每个类别内进入答辩环节的人数不超过2人。</w:t>
      </w:r>
    </w:p>
    <w:p w14:paraId="0D02B654">
      <w:pPr>
        <w:ind w:firstLine="600" w:firstLineChars="200"/>
        <w:outlineLvl w:val="1"/>
        <w:rPr>
          <w:rFonts w:ascii="Times New Roman" w:hAnsi="Times New Roman" w:eastAsia="楷体_GB2312" w:cs="Times New Roman"/>
          <w:sz w:val="30"/>
          <w:szCs w:val="30"/>
          <w:highlight w:val="none"/>
        </w:rPr>
      </w:pPr>
      <w:r>
        <w:rPr>
          <w:rFonts w:ascii="Times New Roman" w:hAnsi="Times New Roman" w:eastAsia="楷体_GB2312" w:cs="Times New Roman"/>
          <w:sz w:val="30"/>
          <w:szCs w:val="30"/>
          <w:highlight w:val="none"/>
        </w:rPr>
        <w:t>（三）评审答辩</w:t>
      </w:r>
    </w:p>
    <w:p w14:paraId="0A743E3C">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1.每位答辩对象的答辩时间为5分钟；答辩对象按照相应指标体系中综合素质、学业情况、科研表现等内容进行申请情况陈述。</w:t>
      </w:r>
    </w:p>
    <w:p w14:paraId="664EC1FF">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2.教授委员会根据申请人答辩情况进行打分，满分10分。</w:t>
      </w:r>
    </w:p>
    <w:p w14:paraId="535D31F1">
      <w:pPr>
        <w:ind w:firstLine="600" w:firstLineChars="200"/>
        <w:outlineLvl w:val="1"/>
        <w:rPr>
          <w:rFonts w:ascii="Times New Roman" w:hAnsi="Times New Roman" w:eastAsia="楷体_GB2312" w:cs="Times New Roman"/>
          <w:sz w:val="30"/>
          <w:szCs w:val="30"/>
          <w:highlight w:val="none"/>
        </w:rPr>
      </w:pPr>
      <w:r>
        <w:rPr>
          <w:rFonts w:ascii="Times New Roman" w:hAnsi="Times New Roman" w:eastAsia="楷体_GB2312" w:cs="Times New Roman"/>
          <w:sz w:val="30"/>
          <w:szCs w:val="30"/>
          <w:highlight w:val="none"/>
        </w:rPr>
        <w:t>（四）总评成绩</w:t>
      </w:r>
    </w:p>
    <w:p w14:paraId="04DC5DC6">
      <w:pPr>
        <w:ind w:firstLine="600" w:firstLineChars="200"/>
        <w:outlineLvl w:val="1"/>
        <w:rPr>
          <w:rFonts w:ascii="Times New Roman" w:hAnsi="Times New Roman" w:eastAsia="楷体_GB2312" w:cs="Times New Roman"/>
          <w:sz w:val="30"/>
          <w:szCs w:val="30"/>
          <w:highlight w:val="none"/>
        </w:rPr>
      </w:pPr>
      <w:r>
        <w:rPr>
          <w:rFonts w:ascii="Times New Roman" w:hAnsi="Times New Roman" w:eastAsia="仿宋_GB2312" w:cs="Times New Roman"/>
          <w:sz w:val="30"/>
          <w:szCs w:val="30"/>
          <w:highlight w:val="none"/>
        </w:rPr>
        <w:t>总评成绩=核算成绩+答辩得分</w:t>
      </w:r>
    </w:p>
    <w:p w14:paraId="425AED63">
      <w:pPr>
        <w:ind w:firstLine="600" w:firstLineChars="200"/>
        <w:outlineLvl w:val="1"/>
        <w:rPr>
          <w:rFonts w:ascii="Times New Roman" w:hAnsi="Times New Roman" w:eastAsia="楷体_GB2312" w:cs="Times New Roman"/>
          <w:sz w:val="30"/>
          <w:szCs w:val="30"/>
          <w:highlight w:val="none"/>
        </w:rPr>
      </w:pPr>
      <w:r>
        <w:rPr>
          <w:rFonts w:ascii="Times New Roman" w:hAnsi="Times New Roman" w:eastAsia="楷体_GB2312" w:cs="Times New Roman"/>
          <w:sz w:val="30"/>
          <w:szCs w:val="30"/>
          <w:highlight w:val="none"/>
        </w:rPr>
        <w:t>（五）公示与申诉</w:t>
      </w:r>
    </w:p>
    <w:p w14:paraId="7E8204A0">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1.根据总评成绩确定国家奖学金最终获奖人选，结果在学院公示5天。对评审结果有异议的研究生，可在公示期内向评审工作组提出申诉，评审工作组应及时研究并予以答复。</w:t>
      </w:r>
    </w:p>
    <w:p w14:paraId="60189B41">
      <w:pPr>
        <w:spacing w:line="600" w:lineRule="exact"/>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2.研究生如仍对学院的答复存在异议，可在学校公示阶段向学校研究生奖助工作领导小组提请申诉。</w:t>
      </w:r>
    </w:p>
    <w:p w14:paraId="611230D8">
      <w:pPr>
        <w:ind w:firstLine="600" w:firstLineChars="200"/>
        <w:outlineLvl w:val="0"/>
        <w:rPr>
          <w:rFonts w:ascii="Times New Roman" w:hAnsi="Times New Roman" w:eastAsia="黑体" w:cs="Times New Roman"/>
          <w:sz w:val="30"/>
          <w:szCs w:val="30"/>
          <w:highlight w:val="none"/>
        </w:rPr>
      </w:pPr>
      <w:r>
        <w:rPr>
          <w:rFonts w:ascii="Times New Roman" w:hAnsi="Times New Roman" w:eastAsia="黑体" w:cs="Times New Roman"/>
          <w:sz w:val="30"/>
          <w:szCs w:val="30"/>
          <w:highlight w:val="none"/>
        </w:rPr>
        <w:t>六、其它</w:t>
      </w:r>
    </w:p>
    <w:p w14:paraId="05F2F88A">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1.指标体系中有关科研业绩和附加分的申请材料，均须为申请人申请各类奖助学金时从未使用过的材料，即申请人曾获得各类奖助学金时已经使用过的申请材料不得再次使用。</w:t>
      </w:r>
    </w:p>
    <w:p w14:paraId="4CB5DE5A">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2.凡存在弄虚作假行为、不按照评审程序参评者，一经查出，即取消包括本次参评资格在内的在校期间所有评奖评优资格。对于已获得奖项的弄虚作假学生，上报学校撤销其荣誉称号，追回奖金，同时按情节严重程度给予相应纪律处分。</w:t>
      </w:r>
    </w:p>
    <w:p w14:paraId="2295D66D">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3.本细则自发文之日起实施。原《生命科学学院研究生国家奖学金评审实施细则》同时废止。</w:t>
      </w:r>
    </w:p>
    <w:p w14:paraId="0DA58DA5">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4.本细则由学院评审工作组负责解释。</w:t>
      </w:r>
    </w:p>
    <w:sectPr>
      <w:footerReference r:id="rId3" w:type="default"/>
      <w:pgSz w:w="11906" w:h="16838"/>
      <w:pgMar w:top="1440" w:right="1133" w:bottom="1440"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FC5509F-0F41-41B7-AC6B-095F1EC531C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embedRegular r:id="rId2" w:fontKey="{44DAE376-5BB6-4DFC-A7A0-62108333A385}"/>
  </w:font>
  <w:font w:name="楷体_GB2312">
    <w:altName w:val="楷体"/>
    <w:panose1 w:val="00000000000000000000"/>
    <w:charset w:val="00"/>
    <w:family w:val="auto"/>
    <w:pitch w:val="default"/>
    <w:sig w:usb0="00000000" w:usb1="00000000" w:usb2="00000000" w:usb3="00000000" w:csb0="00000000" w:csb1="00000000"/>
    <w:embedRegular r:id="rId3" w:fontKey="{6E4F2FCD-CE33-4D3F-9168-75D620D3708C}"/>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embedRegular r:id="rId4" w:fontKey="{6770B869-570E-4ABC-A415-B9BE34CBF738}"/>
  </w:font>
  <w:font w:name="仿宋">
    <w:panose1 w:val="02010609060101010101"/>
    <w:charset w:val="86"/>
    <w:family w:val="modern"/>
    <w:pitch w:val="default"/>
    <w:sig w:usb0="800002BF" w:usb1="38CF7CFA" w:usb2="00000016" w:usb3="00000000" w:csb0="00040001" w:csb1="00000000"/>
    <w:embedRegular r:id="rId5" w:fontKey="{F5B22865-6525-4E47-AB41-6F80750465D2}"/>
  </w:font>
  <w:font w:name="___WRD_EMBED_SUB_44">
    <w:panose1 w:val="02010600030101010101"/>
    <w:charset w:val="86"/>
    <w:family w:val="auto"/>
    <w:pitch w:val="default"/>
    <w:sig w:usb0="00000003" w:usb1="288F0000" w:usb2="00000006" w:usb3="00000000" w:csb0="00040001" w:csb1="00000000"/>
    <w:embedRegular r:id="rId6" w:fontKey="{0A1A9219-0520-460A-8A13-34053A5E694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83046980"/>
    </w:sdtPr>
    <w:sdtContent>
      <w:p w14:paraId="400D8871">
        <w:pPr>
          <w:pStyle w:val="7"/>
          <w:jc w:val="center"/>
        </w:pPr>
        <w:r>
          <w:fldChar w:fldCharType="begin"/>
        </w:r>
        <w:r>
          <w:instrText xml:space="preserve">PAGE   \* MERGEFORMAT</w:instrText>
        </w:r>
        <w:r>
          <w:fldChar w:fldCharType="separate"/>
        </w:r>
        <w:r>
          <w:rPr>
            <w:lang w:val="zh-CN"/>
          </w:rPr>
          <w:t>11</w:t>
        </w:r>
        <w:r>
          <w:fldChar w:fldCharType="end"/>
        </w:r>
      </w:p>
    </w:sdtContent>
  </w:sdt>
  <w:p w14:paraId="4CC8A87C">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U3NjllYzJhZmYwMGM4ZjRhODNiZjRhMDE1OGNkYTIifQ=="/>
  </w:docVars>
  <w:rsids>
    <w:rsidRoot w:val="00570783"/>
    <w:rsid w:val="00013700"/>
    <w:rsid w:val="00026F4A"/>
    <w:rsid w:val="00027019"/>
    <w:rsid w:val="00057837"/>
    <w:rsid w:val="00064EE1"/>
    <w:rsid w:val="000678BC"/>
    <w:rsid w:val="000679D0"/>
    <w:rsid w:val="000703A8"/>
    <w:rsid w:val="000752DC"/>
    <w:rsid w:val="00075FA1"/>
    <w:rsid w:val="0009288F"/>
    <w:rsid w:val="000957FE"/>
    <w:rsid w:val="000A6DA8"/>
    <w:rsid w:val="000B3115"/>
    <w:rsid w:val="000B5DDC"/>
    <w:rsid w:val="000B6261"/>
    <w:rsid w:val="000C6728"/>
    <w:rsid w:val="000C6DB9"/>
    <w:rsid w:val="000C784D"/>
    <w:rsid w:val="000D2B68"/>
    <w:rsid w:val="000D45E6"/>
    <w:rsid w:val="000E341E"/>
    <w:rsid w:val="001007C5"/>
    <w:rsid w:val="00112149"/>
    <w:rsid w:val="00115067"/>
    <w:rsid w:val="00121894"/>
    <w:rsid w:val="001264FB"/>
    <w:rsid w:val="00126E4F"/>
    <w:rsid w:val="0017121A"/>
    <w:rsid w:val="00174188"/>
    <w:rsid w:val="001754F9"/>
    <w:rsid w:val="001755B7"/>
    <w:rsid w:val="00186B61"/>
    <w:rsid w:val="001A71DB"/>
    <w:rsid w:val="001B3085"/>
    <w:rsid w:val="001B5966"/>
    <w:rsid w:val="001C3AAA"/>
    <w:rsid w:val="001D2442"/>
    <w:rsid w:val="001F1AEB"/>
    <w:rsid w:val="002074F0"/>
    <w:rsid w:val="00210430"/>
    <w:rsid w:val="00214A18"/>
    <w:rsid w:val="002170B9"/>
    <w:rsid w:val="00227D99"/>
    <w:rsid w:val="00245D2C"/>
    <w:rsid w:val="0024764E"/>
    <w:rsid w:val="00250F1B"/>
    <w:rsid w:val="00252AE5"/>
    <w:rsid w:val="00265362"/>
    <w:rsid w:val="0027283E"/>
    <w:rsid w:val="00272877"/>
    <w:rsid w:val="00273102"/>
    <w:rsid w:val="00276239"/>
    <w:rsid w:val="00276DE7"/>
    <w:rsid w:val="0028642A"/>
    <w:rsid w:val="00291114"/>
    <w:rsid w:val="002C1817"/>
    <w:rsid w:val="002C521F"/>
    <w:rsid w:val="002C79B9"/>
    <w:rsid w:val="002D1839"/>
    <w:rsid w:val="002D2962"/>
    <w:rsid w:val="002D2C75"/>
    <w:rsid w:val="002E273E"/>
    <w:rsid w:val="002F21B2"/>
    <w:rsid w:val="00300B8F"/>
    <w:rsid w:val="0032353E"/>
    <w:rsid w:val="003239E1"/>
    <w:rsid w:val="0032600F"/>
    <w:rsid w:val="003368FD"/>
    <w:rsid w:val="003418FE"/>
    <w:rsid w:val="00344E2B"/>
    <w:rsid w:val="00357D8E"/>
    <w:rsid w:val="00362882"/>
    <w:rsid w:val="00367489"/>
    <w:rsid w:val="003823E8"/>
    <w:rsid w:val="00382794"/>
    <w:rsid w:val="00385062"/>
    <w:rsid w:val="00386BCB"/>
    <w:rsid w:val="00387901"/>
    <w:rsid w:val="003A28FC"/>
    <w:rsid w:val="003B24B3"/>
    <w:rsid w:val="003B49AF"/>
    <w:rsid w:val="003D2125"/>
    <w:rsid w:val="003D287F"/>
    <w:rsid w:val="003E5821"/>
    <w:rsid w:val="003E7B8B"/>
    <w:rsid w:val="00404BE4"/>
    <w:rsid w:val="00407FF7"/>
    <w:rsid w:val="00410E53"/>
    <w:rsid w:val="00411B39"/>
    <w:rsid w:val="00424746"/>
    <w:rsid w:val="004323AF"/>
    <w:rsid w:val="00433E6B"/>
    <w:rsid w:val="0043706E"/>
    <w:rsid w:val="004373A8"/>
    <w:rsid w:val="0043754C"/>
    <w:rsid w:val="00443141"/>
    <w:rsid w:val="004452F9"/>
    <w:rsid w:val="00450E8B"/>
    <w:rsid w:val="00453B01"/>
    <w:rsid w:val="00487D18"/>
    <w:rsid w:val="00492A89"/>
    <w:rsid w:val="00496733"/>
    <w:rsid w:val="004A3C15"/>
    <w:rsid w:val="004B2748"/>
    <w:rsid w:val="004B729F"/>
    <w:rsid w:val="004B7408"/>
    <w:rsid w:val="004C39AD"/>
    <w:rsid w:val="004C51A7"/>
    <w:rsid w:val="004F3E6A"/>
    <w:rsid w:val="0050468F"/>
    <w:rsid w:val="0051319C"/>
    <w:rsid w:val="0052770E"/>
    <w:rsid w:val="00527CA9"/>
    <w:rsid w:val="00537FBF"/>
    <w:rsid w:val="00540DA3"/>
    <w:rsid w:val="005503F0"/>
    <w:rsid w:val="0055394E"/>
    <w:rsid w:val="005540E5"/>
    <w:rsid w:val="00556904"/>
    <w:rsid w:val="005573AF"/>
    <w:rsid w:val="00557928"/>
    <w:rsid w:val="00561C0B"/>
    <w:rsid w:val="00563674"/>
    <w:rsid w:val="0056743E"/>
    <w:rsid w:val="00570783"/>
    <w:rsid w:val="005741FD"/>
    <w:rsid w:val="0057701A"/>
    <w:rsid w:val="0058434F"/>
    <w:rsid w:val="00585EC5"/>
    <w:rsid w:val="005977D1"/>
    <w:rsid w:val="005B341F"/>
    <w:rsid w:val="005B6F32"/>
    <w:rsid w:val="005D13F1"/>
    <w:rsid w:val="005D2003"/>
    <w:rsid w:val="005D7F04"/>
    <w:rsid w:val="005E471F"/>
    <w:rsid w:val="005E72D2"/>
    <w:rsid w:val="0060272F"/>
    <w:rsid w:val="00645B6B"/>
    <w:rsid w:val="00645ED7"/>
    <w:rsid w:val="00647663"/>
    <w:rsid w:val="00656A04"/>
    <w:rsid w:val="00657C4A"/>
    <w:rsid w:val="00662D96"/>
    <w:rsid w:val="00686448"/>
    <w:rsid w:val="006A17FE"/>
    <w:rsid w:val="006C717A"/>
    <w:rsid w:val="006F5476"/>
    <w:rsid w:val="00721ED9"/>
    <w:rsid w:val="00754428"/>
    <w:rsid w:val="00757F18"/>
    <w:rsid w:val="007615AC"/>
    <w:rsid w:val="00761665"/>
    <w:rsid w:val="00761F68"/>
    <w:rsid w:val="00763E1B"/>
    <w:rsid w:val="00776E03"/>
    <w:rsid w:val="00783850"/>
    <w:rsid w:val="00783DE5"/>
    <w:rsid w:val="007840D6"/>
    <w:rsid w:val="00786757"/>
    <w:rsid w:val="00793A7D"/>
    <w:rsid w:val="007A5319"/>
    <w:rsid w:val="007A6F3C"/>
    <w:rsid w:val="007A75A6"/>
    <w:rsid w:val="007C6418"/>
    <w:rsid w:val="007D40B9"/>
    <w:rsid w:val="007E1184"/>
    <w:rsid w:val="007E62A2"/>
    <w:rsid w:val="007F7685"/>
    <w:rsid w:val="0080206A"/>
    <w:rsid w:val="0080284F"/>
    <w:rsid w:val="00805C91"/>
    <w:rsid w:val="00822DC1"/>
    <w:rsid w:val="00823E53"/>
    <w:rsid w:val="008368F3"/>
    <w:rsid w:val="00840844"/>
    <w:rsid w:val="00862B81"/>
    <w:rsid w:val="0088285C"/>
    <w:rsid w:val="0088635F"/>
    <w:rsid w:val="008A12EE"/>
    <w:rsid w:val="008B340E"/>
    <w:rsid w:val="008B3837"/>
    <w:rsid w:val="008B433A"/>
    <w:rsid w:val="008C1DEE"/>
    <w:rsid w:val="008E675F"/>
    <w:rsid w:val="008F11C3"/>
    <w:rsid w:val="008F597B"/>
    <w:rsid w:val="008F637C"/>
    <w:rsid w:val="0090094E"/>
    <w:rsid w:val="00931D29"/>
    <w:rsid w:val="00936006"/>
    <w:rsid w:val="00956534"/>
    <w:rsid w:val="00983777"/>
    <w:rsid w:val="009B07FA"/>
    <w:rsid w:val="009B140F"/>
    <w:rsid w:val="009B1F02"/>
    <w:rsid w:val="009C11A9"/>
    <w:rsid w:val="009C1562"/>
    <w:rsid w:val="009D4097"/>
    <w:rsid w:val="009E0E8F"/>
    <w:rsid w:val="009E765E"/>
    <w:rsid w:val="009F12F5"/>
    <w:rsid w:val="00A0106F"/>
    <w:rsid w:val="00A20C23"/>
    <w:rsid w:val="00A37130"/>
    <w:rsid w:val="00A37A7A"/>
    <w:rsid w:val="00A461BD"/>
    <w:rsid w:val="00A4636A"/>
    <w:rsid w:val="00A605B4"/>
    <w:rsid w:val="00A85224"/>
    <w:rsid w:val="00AB7682"/>
    <w:rsid w:val="00AE167E"/>
    <w:rsid w:val="00AE1D1D"/>
    <w:rsid w:val="00AF5BB4"/>
    <w:rsid w:val="00AF7433"/>
    <w:rsid w:val="00B154EB"/>
    <w:rsid w:val="00B17BB3"/>
    <w:rsid w:val="00B25188"/>
    <w:rsid w:val="00B32ACB"/>
    <w:rsid w:val="00B4346F"/>
    <w:rsid w:val="00B44FCD"/>
    <w:rsid w:val="00B4598E"/>
    <w:rsid w:val="00B50C51"/>
    <w:rsid w:val="00B53A08"/>
    <w:rsid w:val="00B71419"/>
    <w:rsid w:val="00B85FD2"/>
    <w:rsid w:val="00B90A9D"/>
    <w:rsid w:val="00B90ECA"/>
    <w:rsid w:val="00BA4FB3"/>
    <w:rsid w:val="00BB3FF9"/>
    <w:rsid w:val="00BB5BC3"/>
    <w:rsid w:val="00BD18F4"/>
    <w:rsid w:val="00BD4B21"/>
    <w:rsid w:val="00BE49E7"/>
    <w:rsid w:val="00BE5262"/>
    <w:rsid w:val="00BF233B"/>
    <w:rsid w:val="00BF3AE7"/>
    <w:rsid w:val="00BF65CF"/>
    <w:rsid w:val="00C025FD"/>
    <w:rsid w:val="00C218CD"/>
    <w:rsid w:val="00C2494D"/>
    <w:rsid w:val="00C518A0"/>
    <w:rsid w:val="00C53E00"/>
    <w:rsid w:val="00C66148"/>
    <w:rsid w:val="00C71580"/>
    <w:rsid w:val="00C7292E"/>
    <w:rsid w:val="00C85B0E"/>
    <w:rsid w:val="00C944B0"/>
    <w:rsid w:val="00CA3D0C"/>
    <w:rsid w:val="00CA51CD"/>
    <w:rsid w:val="00CE32BE"/>
    <w:rsid w:val="00CE3667"/>
    <w:rsid w:val="00CF052A"/>
    <w:rsid w:val="00CF0A99"/>
    <w:rsid w:val="00CF7340"/>
    <w:rsid w:val="00D10C56"/>
    <w:rsid w:val="00D12E2B"/>
    <w:rsid w:val="00D16124"/>
    <w:rsid w:val="00D22AA3"/>
    <w:rsid w:val="00D23332"/>
    <w:rsid w:val="00D426DA"/>
    <w:rsid w:val="00D4713C"/>
    <w:rsid w:val="00D606D7"/>
    <w:rsid w:val="00D63FD1"/>
    <w:rsid w:val="00D66CC8"/>
    <w:rsid w:val="00D9103E"/>
    <w:rsid w:val="00D915B2"/>
    <w:rsid w:val="00D91E83"/>
    <w:rsid w:val="00D956A5"/>
    <w:rsid w:val="00D97F1B"/>
    <w:rsid w:val="00DA1D80"/>
    <w:rsid w:val="00DA4397"/>
    <w:rsid w:val="00DB3832"/>
    <w:rsid w:val="00DB3D0F"/>
    <w:rsid w:val="00E006AA"/>
    <w:rsid w:val="00E10A40"/>
    <w:rsid w:val="00E258BE"/>
    <w:rsid w:val="00E27C79"/>
    <w:rsid w:val="00E27E78"/>
    <w:rsid w:val="00E43626"/>
    <w:rsid w:val="00E47480"/>
    <w:rsid w:val="00E4779E"/>
    <w:rsid w:val="00E5713F"/>
    <w:rsid w:val="00E63B69"/>
    <w:rsid w:val="00E707BD"/>
    <w:rsid w:val="00ED06E3"/>
    <w:rsid w:val="00EE207A"/>
    <w:rsid w:val="00F011D7"/>
    <w:rsid w:val="00F1599D"/>
    <w:rsid w:val="00F25A8E"/>
    <w:rsid w:val="00F27755"/>
    <w:rsid w:val="00F31113"/>
    <w:rsid w:val="00F523DC"/>
    <w:rsid w:val="00F57309"/>
    <w:rsid w:val="00F808C4"/>
    <w:rsid w:val="00F81885"/>
    <w:rsid w:val="00F93CCE"/>
    <w:rsid w:val="00F94AE9"/>
    <w:rsid w:val="00FA03DA"/>
    <w:rsid w:val="00FA43AE"/>
    <w:rsid w:val="00FA6B39"/>
    <w:rsid w:val="00FB16EE"/>
    <w:rsid w:val="00FB2358"/>
    <w:rsid w:val="00FB7D1C"/>
    <w:rsid w:val="00FC0D41"/>
    <w:rsid w:val="00FC4A3C"/>
    <w:rsid w:val="00FE2FAA"/>
    <w:rsid w:val="00FF2BC6"/>
    <w:rsid w:val="00FF2D3A"/>
    <w:rsid w:val="017B2BBA"/>
    <w:rsid w:val="01CD7566"/>
    <w:rsid w:val="01DA5A10"/>
    <w:rsid w:val="039915C4"/>
    <w:rsid w:val="04471D09"/>
    <w:rsid w:val="04D806FC"/>
    <w:rsid w:val="055661F0"/>
    <w:rsid w:val="056D52E8"/>
    <w:rsid w:val="05E94D73"/>
    <w:rsid w:val="061E65E2"/>
    <w:rsid w:val="075E5CEC"/>
    <w:rsid w:val="0BB717D7"/>
    <w:rsid w:val="0D1336AF"/>
    <w:rsid w:val="0D471FD0"/>
    <w:rsid w:val="0E3A5F83"/>
    <w:rsid w:val="0ED168E7"/>
    <w:rsid w:val="0F933B9D"/>
    <w:rsid w:val="11BA5961"/>
    <w:rsid w:val="11C10354"/>
    <w:rsid w:val="12DC3772"/>
    <w:rsid w:val="132A0CBC"/>
    <w:rsid w:val="15CC7E09"/>
    <w:rsid w:val="172C5003"/>
    <w:rsid w:val="198D3D53"/>
    <w:rsid w:val="1AFC4333"/>
    <w:rsid w:val="1BF04EF8"/>
    <w:rsid w:val="1EFD1033"/>
    <w:rsid w:val="1F46255F"/>
    <w:rsid w:val="204607B7"/>
    <w:rsid w:val="226E5CA0"/>
    <w:rsid w:val="230E1A60"/>
    <w:rsid w:val="231E77CA"/>
    <w:rsid w:val="284F6DA3"/>
    <w:rsid w:val="2A137EDB"/>
    <w:rsid w:val="2A2C4B8E"/>
    <w:rsid w:val="2A5622BC"/>
    <w:rsid w:val="2A5A1A2F"/>
    <w:rsid w:val="2A7F4FF2"/>
    <w:rsid w:val="2C7566AC"/>
    <w:rsid w:val="2DCE1EBA"/>
    <w:rsid w:val="2F10090E"/>
    <w:rsid w:val="30FA7AC8"/>
    <w:rsid w:val="310338F4"/>
    <w:rsid w:val="313A7EC4"/>
    <w:rsid w:val="33C704ED"/>
    <w:rsid w:val="34CE1050"/>
    <w:rsid w:val="3529097C"/>
    <w:rsid w:val="3538296D"/>
    <w:rsid w:val="355F1393"/>
    <w:rsid w:val="35B87C64"/>
    <w:rsid w:val="369D6F60"/>
    <w:rsid w:val="36BA3F01"/>
    <w:rsid w:val="380454FC"/>
    <w:rsid w:val="38966328"/>
    <w:rsid w:val="3BEB698B"/>
    <w:rsid w:val="3DB159B2"/>
    <w:rsid w:val="3DBF53B9"/>
    <w:rsid w:val="3FF879E9"/>
    <w:rsid w:val="4012098A"/>
    <w:rsid w:val="402D61D4"/>
    <w:rsid w:val="40534AFF"/>
    <w:rsid w:val="44A82889"/>
    <w:rsid w:val="45667082"/>
    <w:rsid w:val="46217C1A"/>
    <w:rsid w:val="46C860A1"/>
    <w:rsid w:val="470A341B"/>
    <w:rsid w:val="4723522B"/>
    <w:rsid w:val="4795634D"/>
    <w:rsid w:val="48C77E38"/>
    <w:rsid w:val="49865F45"/>
    <w:rsid w:val="4A6F5702"/>
    <w:rsid w:val="4C35488D"/>
    <w:rsid w:val="4C9646F1"/>
    <w:rsid w:val="4E7B40D1"/>
    <w:rsid w:val="4EC76DE4"/>
    <w:rsid w:val="52585B62"/>
    <w:rsid w:val="54013B57"/>
    <w:rsid w:val="544643C7"/>
    <w:rsid w:val="59E00D5A"/>
    <w:rsid w:val="5AD03ADB"/>
    <w:rsid w:val="5DCD6F46"/>
    <w:rsid w:val="5DEC678F"/>
    <w:rsid w:val="5F3E5B12"/>
    <w:rsid w:val="5FAB1E0A"/>
    <w:rsid w:val="621023F8"/>
    <w:rsid w:val="63043D0B"/>
    <w:rsid w:val="63DB4A42"/>
    <w:rsid w:val="64B67287"/>
    <w:rsid w:val="64BD6867"/>
    <w:rsid w:val="64CD0B8B"/>
    <w:rsid w:val="653F54CE"/>
    <w:rsid w:val="65A92947"/>
    <w:rsid w:val="66A86D16"/>
    <w:rsid w:val="66AD290B"/>
    <w:rsid w:val="6842209F"/>
    <w:rsid w:val="68861D11"/>
    <w:rsid w:val="6A7433A9"/>
    <w:rsid w:val="6B6E08BB"/>
    <w:rsid w:val="6DBC51E2"/>
    <w:rsid w:val="6E13574A"/>
    <w:rsid w:val="6F046E40"/>
    <w:rsid w:val="6F683B92"/>
    <w:rsid w:val="71467BE4"/>
    <w:rsid w:val="71FB1AAE"/>
    <w:rsid w:val="72D07765"/>
    <w:rsid w:val="73722F12"/>
    <w:rsid w:val="75E75558"/>
    <w:rsid w:val="778D20C9"/>
    <w:rsid w:val="77D0645A"/>
    <w:rsid w:val="782F5862"/>
    <w:rsid w:val="786372CE"/>
    <w:rsid w:val="78874D6A"/>
    <w:rsid w:val="78CC3B41"/>
    <w:rsid w:val="7A970CAD"/>
    <w:rsid w:val="7B1E0A31"/>
    <w:rsid w:val="7D070F77"/>
    <w:rsid w:val="7D16490F"/>
    <w:rsid w:val="7D513BB8"/>
    <w:rsid w:val="7D515947"/>
    <w:rsid w:val="7E266DD3"/>
    <w:rsid w:val="7E6671D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20" w:semiHidden="0" w:name="Emphasis"/>
    <w:lsdException w:qFormat="1" w:uiPriority="99" w:semiHidden="0" w:name="Document Map"/>
    <w:lsdException w:qFormat="1" w:unhideWhenUsed="0" w:uiPriority="99"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8"/>
    <w:unhideWhenUsed/>
    <w:qFormat/>
    <w:uiPriority w:val="99"/>
    <w:rPr>
      <w:rFonts w:ascii="宋体"/>
      <w:sz w:val="18"/>
      <w:szCs w:val="18"/>
    </w:rPr>
  </w:style>
  <w:style w:type="paragraph" w:styleId="3">
    <w:name w:val="annotation text"/>
    <w:basedOn w:val="1"/>
    <w:link w:val="23"/>
    <w:semiHidden/>
    <w:unhideWhenUsed/>
    <w:qFormat/>
    <w:uiPriority w:val="0"/>
    <w:pPr>
      <w:jc w:val="left"/>
    </w:pPr>
  </w:style>
  <w:style w:type="paragraph" w:styleId="4">
    <w:name w:val="Body Text"/>
    <w:basedOn w:val="1"/>
    <w:link w:val="20"/>
    <w:qFormat/>
    <w:uiPriority w:val="0"/>
    <w:pPr>
      <w:jc w:val="center"/>
    </w:pPr>
    <w:rPr>
      <w:b/>
      <w:bCs/>
      <w:sz w:val="24"/>
      <w:szCs w:val="24"/>
    </w:rPr>
  </w:style>
  <w:style w:type="paragraph" w:styleId="5">
    <w:name w:val="Plain Text"/>
    <w:basedOn w:val="1"/>
    <w:link w:val="17"/>
    <w:qFormat/>
    <w:uiPriority w:val="99"/>
    <w:rPr>
      <w:rFonts w:ascii="宋体" w:hAnsi="Courier New" w:cs="Courier New"/>
      <w:szCs w:val="21"/>
    </w:rPr>
  </w:style>
  <w:style w:type="paragraph" w:styleId="6">
    <w:name w:val="Balloon Text"/>
    <w:basedOn w:val="1"/>
    <w:link w:val="21"/>
    <w:semiHidden/>
    <w:unhideWhenUsed/>
    <w:qFormat/>
    <w:uiPriority w:val="0"/>
    <w:rPr>
      <w:sz w:val="18"/>
      <w:szCs w:val="18"/>
    </w:rPr>
  </w:style>
  <w:style w:type="paragraph" w:styleId="7">
    <w:name w:val="footer"/>
    <w:basedOn w:val="1"/>
    <w:link w:val="16"/>
    <w:unhideWhenUsed/>
    <w:qFormat/>
    <w:uiPriority w:val="99"/>
    <w:pPr>
      <w:tabs>
        <w:tab w:val="center" w:pos="4153"/>
        <w:tab w:val="right" w:pos="8306"/>
      </w:tabs>
      <w:snapToGrid w:val="0"/>
      <w:jc w:val="left"/>
    </w:pPr>
    <w:rPr>
      <w:sz w:val="18"/>
      <w:szCs w:val="18"/>
    </w:rPr>
  </w:style>
  <w:style w:type="paragraph" w:styleId="8">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annotation subject"/>
    <w:basedOn w:val="3"/>
    <w:next w:val="3"/>
    <w:link w:val="24"/>
    <w:semiHidden/>
    <w:unhideWhenUsed/>
    <w:qFormat/>
    <w:uiPriority w:val="0"/>
    <w:rPr>
      <w:b/>
      <w:bCs/>
    </w:rPr>
  </w:style>
  <w:style w:type="table" w:styleId="11">
    <w:name w:val="Table Grid"/>
    <w:basedOn w:val="1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3">
    <w:name w:val="Strong"/>
    <w:basedOn w:val="12"/>
    <w:qFormat/>
    <w:uiPriority w:val="0"/>
    <w:rPr>
      <w:b/>
      <w:bCs/>
    </w:rPr>
  </w:style>
  <w:style w:type="character" w:styleId="14">
    <w:name w:val="annotation reference"/>
    <w:basedOn w:val="12"/>
    <w:semiHidden/>
    <w:unhideWhenUsed/>
    <w:qFormat/>
    <w:uiPriority w:val="0"/>
    <w:rPr>
      <w:sz w:val="21"/>
      <w:szCs w:val="21"/>
    </w:rPr>
  </w:style>
  <w:style w:type="character" w:customStyle="1" w:styleId="15">
    <w:name w:val="页眉 Char"/>
    <w:basedOn w:val="12"/>
    <w:link w:val="8"/>
    <w:semiHidden/>
    <w:qFormat/>
    <w:uiPriority w:val="99"/>
    <w:rPr>
      <w:sz w:val="18"/>
      <w:szCs w:val="18"/>
    </w:rPr>
  </w:style>
  <w:style w:type="character" w:customStyle="1" w:styleId="16">
    <w:name w:val="页脚 Char"/>
    <w:basedOn w:val="12"/>
    <w:link w:val="7"/>
    <w:qFormat/>
    <w:uiPriority w:val="99"/>
    <w:rPr>
      <w:sz w:val="18"/>
      <w:szCs w:val="18"/>
    </w:rPr>
  </w:style>
  <w:style w:type="character" w:customStyle="1" w:styleId="17">
    <w:name w:val="纯文本 Char"/>
    <w:basedOn w:val="12"/>
    <w:link w:val="5"/>
    <w:qFormat/>
    <w:uiPriority w:val="99"/>
    <w:rPr>
      <w:rFonts w:ascii="宋体" w:hAnsi="Courier New" w:eastAsia="宋体" w:cs="Courier New"/>
      <w:szCs w:val="21"/>
    </w:rPr>
  </w:style>
  <w:style w:type="character" w:customStyle="1" w:styleId="18">
    <w:name w:val="文档结构图 Char"/>
    <w:basedOn w:val="12"/>
    <w:link w:val="2"/>
    <w:semiHidden/>
    <w:qFormat/>
    <w:uiPriority w:val="99"/>
    <w:rPr>
      <w:rFonts w:ascii="宋体" w:eastAsia="宋体"/>
      <w:sz w:val="18"/>
      <w:szCs w:val="18"/>
    </w:rPr>
  </w:style>
  <w:style w:type="character" w:customStyle="1" w:styleId="19">
    <w:name w:val="正文文本 Char"/>
    <w:qFormat/>
    <w:uiPriority w:val="0"/>
    <w:rPr>
      <w:b/>
      <w:bCs/>
      <w:sz w:val="24"/>
      <w:szCs w:val="24"/>
    </w:rPr>
  </w:style>
  <w:style w:type="character" w:customStyle="1" w:styleId="20">
    <w:name w:val="正文文本 Char1"/>
    <w:basedOn w:val="12"/>
    <w:link w:val="4"/>
    <w:semiHidden/>
    <w:qFormat/>
    <w:uiPriority w:val="99"/>
  </w:style>
  <w:style w:type="character" w:customStyle="1" w:styleId="21">
    <w:name w:val="批注框文本 Char"/>
    <w:basedOn w:val="12"/>
    <w:link w:val="6"/>
    <w:semiHidden/>
    <w:qFormat/>
    <w:uiPriority w:val="0"/>
    <w:rPr>
      <w:rFonts w:ascii="Calibri" w:hAnsi="Calibri" w:cs="黑体"/>
      <w:kern w:val="2"/>
      <w:sz w:val="18"/>
      <w:szCs w:val="18"/>
    </w:rPr>
  </w:style>
  <w:style w:type="paragraph" w:styleId="22">
    <w:name w:val="List Paragraph"/>
    <w:basedOn w:val="1"/>
    <w:unhideWhenUsed/>
    <w:qFormat/>
    <w:uiPriority w:val="99"/>
    <w:pPr>
      <w:ind w:firstLine="420" w:firstLineChars="200"/>
    </w:pPr>
  </w:style>
  <w:style w:type="character" w:customStyle="1" w:styleId="23">
    <w:name w:val="批注文字 Char"/>
    <w:basedOn w:val="12"/>
    <w:link w:val="3"/>
    <w:semiHidden/>
    <w:qFormat/>
    <w:uiPriority w:val="0"/>
    <w:rPr>
      <w:rFonts w:ascii="Calibri" w:hAnsi="Calibri" w:cs="黑体"/>
      <w:kern w:val="2"/>
      <w:sz w:val="21"/>
      <w:szCs w:val="22"/>
    </w:rPr>
  </w:style>
  <w:style w:type="character" w:customStyle="1" w:styleId="24">
    <w:name w:val="批注主题 Char"/>
    <w:basedOn w:val="23"/>
    <w:link w:val="9"/>
    <w:semiHidden/>
    <w:qFormat/>
    <w:uiPriority w:val="0"/>
    <w:rPr>
      <w:rFonts w:ascii="Calibri" w:hAnsi="Calibri" w:cs="黑体"/>
      <w:b/>
      <w:bCs/>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99B21-F748-4D5B-B559-1E9224DF375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12</Pages>
  <Words>3630</Words>
  <Characters>3823</Characters>
  <Lines>40</Lines>
  <Paragraphs>11</Paragraphs>
  <TotalTime>73</TotalTime>
  <ScaleCrop>false</ScaleCrop>
  <LinksUpToDate>false</LinksUpToDate>
  <CharactersWithSpaces>3897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2022-09-26T02:07:00Z</dcterms:created>
  <dc:creator>王有材</dc:creator>
  <cp:lastModifiedBy>羊</cp:lastModifiedBy>
  <cp:lastPrinted>2020-09-24T02:48:00Z</cp:lastPrinted>
  <dcterms:modified xsi:type="dcterms:W3CDTF">2025-09-30T10:51:54Z</dcterms:modified>
  <dc:title>附件1</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43C7C486F6EB4227A96C4980347BBF13_13</vt:lpwstr>
  </property>
  <property fmtid="{D5CDD505-2E9C-101B-9397-08002B2CF9AE}" pid="4" name="KSOTemplateDocerSaveRecord">
    <vt:lpwstr>eyJoZGlkIjoiZTYzOTkzZWYwYzIyYTViMjQwMjNhNDIzOGJkZWIxMWIiLCJ1c2VySWQiOiIzMDcwMzkzMjIifQ==</vt:lpwstr>
  </property>
</Properties>
</file>